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1094d305b2.htm"/>
      <w:bookmarkStart w:id="1" w:name="ksd71094d305b2"/>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20"/>
        </w:rPr>
        <w:t>SECURITIES</w:t>
      </w:r>
      <w:r>
        <w:rPr>
          <w:rFonts w:ascii="Times New Roman" w:hAnsi="Times New Roman"/>
          <w:b/>
          <w:sz w:val="36"/>
        </w:rPr>
        <w:t xml:space="preserve"> </w:t>
      </w:r>
      <w:r>
        <w:rPr>
          <w:rFonts w:ascii="Times New Roman" w:hAnsi="Times New Roman"/>
          <w:b/>
          <w:sz w:val="20"/>
        </w:rPr>
        <w:t>AND</w:t>
      </w:r>
      <w:r>
        <w:rPr>
          <w:rFonts w:ascii="Times New Roman" w:hAnsi="Times New Roman"/>
          <w:b/>
          <w:sz w:val="36"/>
        </w:rPr>
        <w:t xml:space="preserve"> </w:t>
      </w:r>
      <w:r>
        <w:rPr>
          <w:rFonts w:ascii="Times New Roman" w:hAnsi="Times New Roman"/>
          <w:b/>
          <w:sz w:val="20"/>
        </w:rPr>
        <w:t>EXCHANGE</w:t>
      </w:r>
      <w:r>
        <w:rPr>
          <w:rFonts w:ascii="Times New Roman" w:hAnsi="Times New Roman"/>
          <w:b/>
          <w:sz w:val="36"/>
        </w:rPr>
        <w:t xml:space="preserve"> </w:t>
      </w:r>
      <w:r>
        <w:rPr>
          <w:rFonts w:ascii="Times New Roman" w:hAnsi="Times New Roman"/>
          <w:b/>
          <w:sz w:val="20"/>
        </w:rPr>
        <w:t>COMMISSION</w:t>
      </w:r>
      <w:r>
        <w:rPr>
          <w:rFonts w:ascii="Times New Roman" w:hAnsi="Times New Roman"/>
          <w:b/>
          <w:sz w:val="36"/>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91-1821036 </w:t>
      </w:r>
    </w:p>
    <w:p>
      <w:pPr>
        <w:pStyle w:val="TextBody"/>
        <w:bidi w:val="0"/>
        <w:spacing w:before="0" w:after="0"/>
        <w:jc w:val="center"/>
        <w:rPr>
          <w:rFonts w:ascii="Times New Roman" w:hAnsi="Times New Roman"/>
          <w:b/>
          <w:sz w:val="20"/>
        </w:rPr>
      </w:pPr>
      <w:r>
        <w:rPr>
          <w:rFonts w:ascii="Times New Roman" w:hAnsi="Times New Roman"/>
          <w:b/>
          <w:sz w:val="20"/>
        </w:rPr>
        <w:t xml:space="preserve">I.R.S. Employer Identification No.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200 South 6th Street</w:t>
            </w:r>
          </w:p>
          <w:p>
            <w:pPr>
              <w:pStyle w:val="TableContents"/>
              <w:bidi w:val="0"/>
              <w:spacing w:before="0" w:after="20"/>
              <w:jc w:val="center"/>
              <w:rPr>
                <w:rFonts w:ascii="Times New Roman" w:hAnsi="Times New Roman"/>
                <w:b/>
                <w:sz w:val="20"/>
              </w:rPr>
            </w:pPr>
            <w:r>
              <w:rPr>
                <w:rFonts w:ascii="Times New Roman" w:hAnsi="Times New Roman"/>
                <w:b/>
                <w:sz w:val="20"/>
              </w:rPr>
              <w:t>Minneapolis, Minnesota</w:t>
            </w:r>
          </w:p>
        </w:tc>
        <w:tc>
          <w:tcPr>
            <w:tcW w:w="101" w:type="dxa"/>
            <w:tcBorders/>
            <w:vAlign w:val="bottom"/>
          </w:tcPr>
          <w:p>
            <w:pPr>
              <w:pStyle w:val="TableContents"/>
              <w:bidi w:val="0"/>
              <w:spacing w:before="0" w:after="283"/>
              <w:jc w:val="left"/>
              <w:rPr/>
            </w:pPr>
            <w:r>
              <w:rPr/>
              <w:t> </w:t>
            </w:r>
          </w:p>
        </w:tc>
        <w:tc>
          <w:tcPr>
            <w:tcW w:w="4950" w:type="dxa"/>
            <w:tcBorders/>
            <w:vAlign w:val="bottom"/>
          </w:tcPr>
          <w:p>
            <w:pPr>
              <w:pStyle w:val="TableContents"/>
              <w:bidi w:val="0"/>
              <w:spacing w:before="0" w:after="283"/>
              <w:jc w:val="center"/>
              <w:rPr>
                <w:b/>
              </w:rPr>
            </w:pPr>
            <w:r>
              <w:rPr>
                <w:b/>
              </w:rPr>
              <w:t>55402</w:t>
            </w:r>
          </w:p>
        </w:tc>
      </w:tr>
      <w:tr>
        <w:trPr/>
        <w:tc>
          <w:tcPr>
            <w:tcW w:w="5154"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David Jason </w:t>
      </w:r>
    </w:p>
    <w:p>
      <w:pPr>
        <w:pStyle w:val="TextBody"/>
        <w:bidi w:val="0"/>
        <w:spacing w:before="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One California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94111 </w:t>
      </w:r>
    </w:p>
    <w:p>
      <w:pPr>
        <w:pStyle w:val="TextBody"/>
        <w:bidi w:val="0"/>
        <w:spacing w:before="0" w:after="0"/>
        <w:jc w:val="center"/>
        <w:rPr>
          <w:rFonts w:ascii="Times New Roman" w:hAnsi="Times New Roman"/>
          <w:b/>
          <w:sz w:val="20"/>
        </w:rPr>
      </w:pPr>
      <w:r>
        <w:rPr>
          <w:rFonts w:ascii="Times New Roman" w:hAnsi="Times New Roman"/>
          <w:b/>
          <w:sz w:val="20"/>
        </w:rPr>
        <w:t xml:space="preserve">(415) 677-3622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VAXCYTE, INC. </w:t>
      </w:r>
    </w:p>
    <w:p>
      <w:pPr>
        <w:pStyle w:val="TextBody"/>
        <w:bidi w:val="0"/>
        <w:spacing w:before="0" w:after="0"/>
        <w:jc w:val="center"/>
        <w:rPr>
          <w:rFonts w:ascii="Times New Roman" w:hAnsi="Times New Roman"/>
          <w:b/>
          <w:sz w:val="16"/>
        </w:rPr>
      </w:pPr>
      <w:r>
        <w:rPr>
          <w:rFonts w:ascii="Times New Roman" w:hAnsi="Times New Roman"/>
          <w:b/>
          <w:sz w:val="16"/>
        </w:rPr>
        <w:t xml:space="preserve">(Issuer with respect to the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46-4233385</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825 Industrial Road, Suite 300</w:t>
            </w:r>
          </w:p>
          <w:p>
            <w:pPr>
              <w:pStyle w:val="TableContents"/>
              <w:bidi w:val="0"/>
              <w:spacing w:before="0" w:after="20"/>
              <w:jc w:val="center"/>
              <w:rPr>
                <w:rFonts w:ascii="Times New Roman" w:hAnsi="Times New Roman"/>
                <w:b/>
                <w:sz w:val="20"/>
              </w:rPr>
            </w:pPr>
            <w:r>
              <w:rPr>
                <w:rFonts w:ascii="Times New Roman" w:hAnsi="Times New Roman"/>
                <w:b/>
                <w:sz w:val="20"/>
              </w:rPr>
              <w:t>San Carlos, California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94070</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FORM T-1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GENERAL INFORMATION</w:t>
            </w:r>
            <w:r>
              <w:rPr>
                <w:rFonts w:ascii="Times New Roman" w:hAnsi="Times New Roman"/>
                <w:b/>
                <w:i/>
                <w:sz w:val="20"/>
              </w:rPr>
              <w:t>.</w:t>
            </w:r>
            <w:r>
              <w:rPr>
                <w:rFonts w:ascii="Times New Roman" w:hAnsi="Times New Roman"/>
                <w:sz w:val="20"/>
              </w:rPr>
              <w:t xml:space="preserve"> Furnish the following information as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Name and address of each examining or supervising authority to which it is subject.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Comptroller of the Currency </w:t>
      </w:r>
    </w:p>
    <w:p>
      <w:pPr>
        <w:pStyle w:val="TextBody"/>
        <w:bidi w:val="0"/>
        <w:spacing w:before="0" w:after="0"/>
        <w:jc w:val="left"/>
        <w:rPr>
          <w:rFonts w:ascii="Times New Roman" w:hAnsi="Times New Roman"/>
          <w:sz w:val="20"/>
        </w:rPr>
      </w:pPr>
      <w:r>
        <w:rPr>
          <w:rFonts w:ascii="Times New Roman" w:hAnsi="Times New Roman"/>
          <w:sz w:val="20"/>
        </w:rPr>
        <w:t xml:space="preserve">Washington, D.C.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Whether it is authorized to exercise corporate trust powers.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AFFILIATIONS WITH THE OBLIGOR. </w:t>
            </w:r>
            <w:r>
              <w:rPr>
                <w:rFonts w:ascii="Times New Roman" w:hAnsi="Times New Roman"/>
                <w:i/>
                <w:sz w:val="20"/>
              </w:rPr>
              <w:t>If the obligor is an affiliate of the Trustee, describe each such affiliation.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Items 3-15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Items 3-15 are not applicable because to the best of the Trustee’s knowledge, the obligor is not in default under any Indenture for which the Trustee acts as Trustee.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LIST OF EXHIBITS: </w:t>
            </w:r>
            <w:r>
              <w:rPr>
                <w:rFonts w:ascii="Times New Roman" w:hAnsi="Times New Roman"/>
                <w:i/>
                <w:sz w:val="20"/>
              </w:rPr>
              <w:t xml:space="preserve">List below all exhibits filed as a part of this statement of eligibility and qualification.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Articles of Association of the Trustee, attached as Exhibit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certificate of authority of the Trustee to commence business, attached as Exhibit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authorization of the Trustee to exercise corporate trust powers, included as Exhibit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existing bylaws of the Trustee, attached as Exhibit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each Indenture referred to in Item 4. 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consent of the Trustee required by Section 321(b) of the Trust Indenture Act of 1939, attached as Exhibit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 of Condition of the Trustee as of June 30, 2026, published pursuant to law or the requirements of its supervising or examining authority, attached as Exhibit 7.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Trust Indenture Act of 1939, as amended, the Trustee, U.S. BANK TRUST COMPANY, NATIONAL ASSOCIATION, a national banking association organized and existing under the laws of the United States of America, has duly caused this statement of eligibility to be signed on its behalf by the undersigned, thereunto duly authorized, all in the City of San Francisco, State of California on the 5th day of October,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Jason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David Jason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1 </w:t>
      </w:r>
    </w:p>
    <w:p>
      <w:pPr>
        <w:pStyle w:val="TextBody"/>
        <w:bidi w:val="0"/>
        <w:spacing w:before="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U. S. BANK TRUST COMPANY,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organizing an association (the “Association”) to perform any lawful activities of national banks, the undersigned enter into the following Articles of Association: </w:t>
      </w:r>
    </w:p>
    <w:p>
      <w:pPr>
        <w:pStyle w:val="TextBody"/>
        <w:bidi w:val="0"/>
        <w:spacing w:before="240" w:after="0"/>
        <w:jc w:val="left"/>
        <w:rPr>
          <w:rFonts w:ascii="Times New Roman" w:hAnsi="Times New Roman"/>
          <w:sz w:val="20"/>
        </w:rPr>
      </w:pPr>
      <w:r>
        <w:rPr>
          <w:rFonts w:ascii="Times New Roman" w:hAnsi="Times New Roman"/>
          <w:b/>
          <w:sz w:val="20"/>
        </w:rPr>
        <w:t xml:space="preserve">FIRST. </w:t>
      </w:r>
      <w:r>
        <w:rPr>
          <w:rFonts w:ascii="Times New Roman" w:hAnsi="Times New Roman"/>
          <w:sz w:val="20"/>
        </w:rPr>
        <w:t xml:space="preserve">The title of this Association shall be U. S. Bank Trust Company, National Association. </w:t>
      </w:r>
    </w:p>
    <w:p>
      <w:pPr>
        <w:pStyle w:val="TextBody"/>
        <w:bidi w:val="0"/>
        <w:spacing w:before="240" w:after="0"/>
        <w:jc w:val="left"/>
        <w:rPr>
          <w:rFonts w:ascii="Times New Roman" w:hAnsi="Times New Roman"/>
          <w:sz w:val="20"/>
        </w:rPr>
      </w:pPr>
      <w:r>
        <w:rPr>
          <w:rFonts w:ascii="Times New Roman" w:hAnsi="Times New Roman"/>
          <w:b/>
          <w:sz w:val="20"/>
        </w:rPr>
        <w:t xml:space="preserve">SECOND. </w:t>
      </w:r>
      <w:r>
        <w:rPr>
          <w:rFonts w:ascii="Times New Roman" w:hAnsi="Times New Roman"/>
          <w:sz w:val="20"/>
        </w:rPr>
        <w:t xml:space="preserve">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 </w:t>
      </w:r>
    </w:p>
    <w:p>
      <w:pPr>
        <w:pStyle w:val="TextBody"/>
        <w:bidi w:val="0"/>
        <w:spacing w:before="240" w:after="0"/>
        <w:jc w:val="left"/>
        <w:rPr>
          <w:rFonts w:ascii="Times New Roman" w:hAnsi="Times New Roman"/>
          <w:sz w:val="20"/>
        </w:rPr>
      </w:pPr>
      <w:r>
        <w:rPr>
          <w:rFonts w:ascii="Times New Roman" w:hAnsi="Times New Roman"/>
          <w:sz w:val="20"/>
        </w:rPr>
        <w:t xml:space="preserve">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 </w:t>
      </w:r>
    </w:p>
    <w:p>
      <w:pPr>
        <w:pStyle w:val="TextBody"/>
        <w:bidi w:val="0"/>
        <w:spacing w:before="240" w:after="0"/>
        <w:jc w:val="left"/>
        <w:rPr>
          <w:rFonts w:ascii="Times New Roman" w:hAnsi="Times New Roman"/>
          <w:sz w:val="20"/>
        </w:rPr>
      </w:pPr>
      <w:r>
        <w:rPr>
          <w:rFonts w:ascii="Times New Roman" w:hAnsi="Times New Roman"/>
          <w:sz w:val="20"/>
        </w:rPr>
        <w:t xml:space="preserve">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0"/>
        <w:gridCol w:w="124"/>
        <w:gridCol w:w="3198"/>
        <w:gridCol w:w="124"/>
        <w:gridCol w:w="3309"/>
      </w:tblGrid>
      <w:tr>
        <w:trPr/>
        <w:tc>
          <w:tcPr>
            <w:tcW w:w="345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5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98" w:type="dxa"/>
            <w:tcBorders/>
          </w:tcPr>
          <w:p>
            <w:pPr>
              <w:pStyle w:val="TableContents"/>
              <w:bidi w:val="0"/>
              <w:spacing w:before="0" w:after="283"/>
              <w:jc w:val="center"/>
              <w:rPr/>
            </w:pPr>
            <w:r>
              <w:rPr/>
              <w:t>-1-</w:t>
            </w:r>
          </w:p>
        </w:tc>
        <w:tc>
          <w:tcPr>
            <w:tcW w:w="124"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283"/>
              <w:jc w:val="right"/>
              <w:rPr/>
            </w:pPr>
            <w:r>
              <w:rPr/>
              <w:t>80000-383/060297/XBB02E85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 xml:space="preserve">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 </w:t>
      </w:r>
    </w:p>
    <w:p>
      <w:pPr>
        <w:pStyle w:val="TextBody"/>
        <w:bidi w:val="0"/>
        <w:spacing w:before="240" w:after="0"/>
        <w:jc w:val="left"/>
        <w:rPr>
          <w:rFonts w:ascii="Times New Roman" w:hAnsi="Times New Roman"/>
          <w:sz w:val="20"/>
        </w:rPr>
      </w:pPr>
      <w:r>
        <w:rPr>
          <w:rFonts w:ascii="Times New Roman" w:hAnsi="Times New Roman"/>
          <w:sz w:val="20"/>
        </w:rPr>
        <w:t xml:space="preserve">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resign at any time by delivering written notice to the board of directors, its chairperson, or to the Association, which resignation shall be effective when the notice is delivered unless the notice specifies a later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 </w:t>
      </w:r>
    </w:p>
    <w:p>
      <w:pPr>
        <w:pStyle w:val="TextBody"/>
        <w:bidi w:val="0"/>
        <w:spacing w:before="240" w:after="0"/>
        <w:jc w:val="left"/>
        <w:rPr>
          <w:rFonts w:ascii="Times New Roman" w:hAnsi="Times New Roman"/>
          <w:sz w:val="20"/>
        </w:rPr>
      </w:pPr>
      <w:r>
        <w:rPr>
          <w:rFonts w:ascii="Times New Roman" w:hAnsi="Times New Roman"/>
          <w:b/>
          <w:sz w:val="20"/>
        </w:rPr>
        <w:t xml:space="preserve">FIFTH. </w:t>
      </w:r>
      <w:r>
        <w:rPr>
          <w:rFonts w:ascii="Times New Roman" w:hAnsi="Times New Roman"/>
          <w:sz w:val="20"/>
        </w:rPr>
        <w:t xml:space="preserve">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the Association’s stock are subject to the prior written approval of a federal depository institution regulatory agency. If no other agency approval is required, the approval of the Comptroller of the Currency must be obtained prior to any such transfers.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5"/>
        <w:gridCol w:w="125"/>
        <w:gridCol w:w="3194"/>
        <w:gridCol w:w="125"/>
        <w:gridCol w:w="3316"/>
      </w:tblGrid>
      <w:tr>
        <w:trPr/>
        <w:tc>
          <w:tcPr>
            <w:tcW w:w="344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44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283"/>
              <w:jc w:val="center"/>
              <w:rPr/>
            </w:pPr>
            <w:r>
              <w:rPr/>
              <w:t>-2-</w:t>
            </w:r>
          </w:p>
        </w:tc>
        <w:tc>
          <w:tcPr>
            <w:tcW w:w="125"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right"/>
              <w:rPr>
                <w:b/>
              </w:rPr>
            </w:pPr>
            <w:r>
              <w:rPr>
                <w:b/>
              </w:rPr>
              <w:t>80000-383/060297/XBB02B85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the Articles of Association or required by law, all shares of voting stock shall be voted together as a class, on any matters requiring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 </w:t>
      </w:r>
    </w:p>
    <w:p>
      <w:pPr>
        <w:pStyle w:val="TextBody"/>
        <w:bidi w:val="0"/>
        <w:spacing w:before="240" w:after="0"/>
        <w:jc w:val="left"/>
        <w:rPr>
          <w:rFonts w:ascii="Times New Roman" w:hAnsi="Times New Roman"/>
          <w:sz w:val="20"/>
        </w:rPr>
      </w:pPr>
      <w:r>
        <w:rPr>
          <w:rFonts w:ascii="Times New Roman" w:hAnsi="Times New Roman"/>
          <w:b/>
          <w:sz w:val="20"/>
        </w:rPr>
        <w:t xml:space="preserve">SIXTH. </w:t>
      </w:r>
      <w:r>
        <w:rPr>
          <w:rFonts w:ascii="Times New Roman" w:hAnsi="Times New Roman"/>
          <w:sz w:val="20"/>
        </w:rPr>
        <w:t xml:space="preserve">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have the power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Define the duties of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Delegate the performance of its duties, but not the responsibility for its duties, to the officers, employees, and agents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 the compensation and enter employment contracts with its officers and employees upon reasonable terms and conditions consistent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Dismiss officers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bonds from officers and employees and to fix the penalty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Ratify written policies authorized by the Association’s management or committees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5"/>
        <w:gridCol w:w="125"/>
        <w:gridCol w:w="3194"/>
        <w:gridCol w:w="125"/>
        <w:gridCol w:w="3316"/>
      </w:tblGrid>
      <w:tr>
        <w:trPr/>
        <w:tc>
          <w:tcPr>
            <w:tcW w:w="344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9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44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194" w:type="dxa"/>
            <w:tcBorders/>
          </w:tcPr>
          <w:p>
            <w:pPr>
              <w:pStyle w:val="TableContents"/>
              <w:bidi w:val="0"/>
              <w:spacing w:before="0" w:after="283"/>
              <w:jc w:val="center"/>
              <w:rPr/>
            </w:pPr>
            <w:r>
              <w:rPr/>
              <w:t>-3-</w:t>
            </w:r>
          </w:p>
        </w:tc>
        <w:tc>
          <w:tcPr>
            <w:tcW w:w="125"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right"/>
              <w:rPr>
                <w:b/>
              </w:rPr>
            </w:pPr>
            <w:r>
              <w:rPr>
                <w:b/>
              </w:rPr>
              <w:t>80000-383/060297/XBB02E85</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administer the business and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initial Bylaws, not inconsistent with law or the Articles of Association, for managing the business and regulating the affairs of the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repeal Bylaws, except to the extent that the Articles of Association reserve this power in whole or in part to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perform all acts that are legal for a board of directors to perform.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SEVENTH. </w:t>
      </w:r>
      <w:r>
        <w:rPr>
          <w:rFonts w:ascii="Times New Roman" w:hAnsi="Times New Roman"/>
          <w:sz w:val="20"/>
        </w:rPr>
        <w:t xml:space="preserve">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 </w:t>
      </w:r>
    </w:p>
    <w:p>
      <w:pPr>
        <w:pStyle w:val="TextBody"/>
        <w:bidi w:val="0"/>
        <w:spacing w:before="240" w:after="0"/>
        <w:jc w:val="left"/>
        <w:rPr>
          <w:rFonts w:ascii="Times New Roman" w:hAnsi="Times New Roman"/>
          <w:sz w:val="20"/>
        </w:rPr>
      </w:pPr>
      <w:r>
        <w:rPr>
          <w:rFonts w:ascii="Times New Roman" w:hAnsi="Times New Roman"/>
          <w:b/>
          <w:sz w:val="20"/>
        </w:rPr>
        <w:t xml:space="preserve">EIGHTH. </w:t>
      </w:r>
      <w:r>
        <w:rPr>
          <w:rFonts w:ascii="Times New Roman" w:hAnsi="Times New Roman"/>
          <w:sz w:val="20"/>
        </w:rPr>
        <w:t xml:space="preserve">The corporate existence of this Association shall continue until termination according to the laws of the United States. </w:t>
      </w:r>
    </w:p>
    <w:p>
      <w:pPr>
        <w:pStyle w:val="TextBody"/>
        <w:bidi w:val="0"/>
        <w:spacing w:before="240" w:after="0"/>
        <w:jc w:val="left"/>
        <w:rPr>
          <w:rFonts w:ascii="Times New Roman" w:hAnsi="Times New Roman"/>
          <w:sz w:val="20"/>
        </w:rPr>
      </w:pPr>
      <w:r>
        <w:rPr>
          <w:rFonts w:ascii="Times New Roman" w:hAnsi="Times New Roman"/>
          <w:b/>
          <w:sz w:val="20"/>
        </w:rPr>
        <w:t xml:space="preserve">NINTH. </w:t>
      </w:r>
      <w:r>
        <w:rPr>
          <w:rFonts w:ascii="Times New Roman" w:hAnsi="Times New Roman"/>
          <w:sz w:val="20"/>
        </w:rPr>
        <w:t xml:space="preserve">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 </w:t>
      </w:r>
    </w:p>
    <w:p>
      <w:pPr>
        <w:pStyle w:val="TextBody"/>
        <w:bidi w:val="0"/>
        <w:spacing w:before="240" w:after="0"/>
        <w:jc w:val="left"/>
        <w:rPr>
          <w:rFonts w:ascii="Times New Roman" w:hAnsi="Times New Roman"/>
          <w:sz w:val="20"/>
        </w:rPr>
      </w:pPr>
      <w:r>
        <w:rPr>
          <w:rFonts w:ascii="Times New Roman" w:hAnsi="Times New Roman"/>
          <w:b/>
          <w:sz w:val="20"/>
        </w:rPr>
        <w:t xml:space="preserve">TENTH. </w:t>
      </w:r>
      <w:r>
        <w:rPr>
          <w:rFonts w:ascii="Times New Roman" w:hAnsi="Times New Roman"/>
          <w:sz w:val="20"/>
        </w:rPr>
        <w:t xml:space="preserve">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124"/>
        <w:gridCol w:w="3186"/>
        <w:gridCol w:w="124"/>
        <w:gridCol w:w="3335"/>
      </w:tblGrid>
      <w:tr>
        <w:trPr/>
        <w:tc>
          <w:tcPr>
            <w:tcW w:w="34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center"/>
              <w:rPr/>
            </w:pPr>
            <w:r>
              <w:rPr/>
              <w:t>-4-</w:t>
            </w:r>
          </w:p>
        </w:tc>
        <w:tc>
          <w:tcPr>
            <w:tcW w:w="124" w:type="dxa"/>
            <w:tcBorders/>
            <w:vAlign w:val="bottom"/>
          </w:tcPr>
          <w:p>
            <w:pPr>
              <w:pStyle w:val="TableContents"/>
              <w:bidi w:val="0"/>
              <w:spacing w:before="0" w:after="283"/>
              <w:jc w:val="left"/>
              <w:rPr/>
            </w:pPr>
            <w:r>
              <w:rPr/>
              <w:t>  </w:t>
            </w:r>
          </w:p>
        </w:tc>
        <w:tc>
          <w:tcPr>
            <w:tcW w:w="3335" w:type="dxa"/>
            <w:tcBorders/>
          </w:tcPr>
          <w:p>
            <w:pPr>
              <w:pStyle w:val="TableContents"/>
              <w:bidi w:val="0"/>
              <w:spacing w:before="0" w:after="283"/>
              <w:jc w:val="right"/>
              <w:rPr/>
            </w:pPr>
            <w:r>
              <w:rPr/>
              <w:t>80000-383/06fY297/XBBfY2E85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we have hereunto set our hands this 11th of June, 1997.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T. Grubb</w:t>
            </w:r>
          </w:p>
        </w:tc>
      </w:tr>
      <w:tr>
        <w:trPr/>
        <w:tc>
          <w:tcPr>
            <w:tcW w:w="4082" w:type="dxa"/>
            <w:tcBorders/>
          </w:tcPr>
          <w:p>
            <w:pPr>
              <w:pStyle w:val="TableContents"/>
              <w:bidi w:val="0"/>
              <w:spacing w:before="0" w:after="283"/>
              <w:jc w:val="left"/>
              <w:rPr/>
            </w:pPr>
            <w:r>
              <w:rPr/>
              <w:t>Jeffrey T. Grubb</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D. Sznewajs</w:t>
            </w:r>
          </w:p>
        </w:tc>
      </w:tr>
      <w:tr>
        <w:trPr/>
        <w:tc>
          <w:tcPr>
            <w:tcW w:w="4082" w:type="dxa"/>
            <w:tcBorders/>
          </w:tcPr>
          <w:p>
            <w:pPr>
              <w:pStyle w:val="TableContents"/>
              <w:bidi w:val="0"/>
              <w:spacing w:before="0" w:after="283"/>
              <w:jc w:val="left"/>
              <w:rPr/>
            </w:pPr>
            <w:r>
              <w:rPr/>
              <w:t>Robert D. Sznewajs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Dwight V. Board</w:t>
            </w:r>
          </w:p>
        </w:tc>
      </w:tr>
      <w:tr>
        <w:trPr/>
        <w:tc>
          <w:tcPr>
            <w:tcW w:w="4082" w:type="dxa"/>
            <w:tcBorders/>
          </w:tcPr>
          <w:p>
            <w:pPr>
              <w:pStyle w:val="TableContents"/>
              <w:bidi w:val="0"/>
              <w:spacing w:before="0" w:after="283"/>
              <w:jc w:val="left"/>
              <w:rPr/>
            </w:pPr>
            <w:r>
              <w:rPr/>
              <w:t>Dwight V. Board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 K. Chatterjee</w:t>
            </w:r>
          </w:p>
        </w:tc>
      </w:tr>
      <w:tr>
        <w:trPr/>
        <w:tc>
          <w:tcPr>
            <w:tcW w:w="4082" w:type="dxa"/>
            <w:tcBorders/>
          </w:tcPr>
          <w:p>
            <w:pPr>
              <w:pStyle w:val="TableContents"/>
              <w:bidi w:val="0"/>
              <w:spacing w:before="0" w:after="283"/>
              <w:jc w:val="left"/>
              <w:rPr/>
            </w:pPr>
            <w:r>
              <w:rPr/>
              <w:t>P. K. Chatterjee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Lane</w:t>
            </w:r>
          </w:p>
        </w:tc>
      </w:tr>
      <w:tr>
        <w:trPr/>
        <w:tc>
          <w:tcPr>
            <w:tcW w:w="4082" w:type="dxa"/>
            <w:tcBorders/>
          </w:tcPr>
          <w:p>
            <w:pPr>
              <w:pStyle w:val="TableContents"/>
              <w:bidi w:val="0"/>
              <w:spacing w:before="0" w:after="283"/>
              <w:jc w:val="left"/>
              <w:rPr/>
            </w:pPr>
            <w:r>
              <w:rPr/>
              <w:t>Robert Lane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2"/>
        <w:gridCol w:w="123"/>
        <w:gridCol w:w="9360"/>
      </w:tblGrid>
      <w:tr>
        <w:trPr/>
        <w:tc>
          <w:tcPr>
            <w:tcW w:w="72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22" w:type="dxa"/>
            <w:vMerge w:val="restart"/>
            <w:tcBorders/>
          </w:tcPr>
          <w:p>
            <w:pPr>
              <w:pStyle w:val="TableContents"/>
              <w:bidi w:val="0"/>
              <w:spacing w:before="0" w:after="283"/>
              <w:jc w:val="left"/>
              <w:rPr/>
            </w:pPr>
            <w:r>
              <w:rPr/>
              <w:drawing>
                <wp:inline distT="0" distB="0" distL="0" distR="0">
                  <wp:extent cx="40957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9575" cy="42862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9360" w:type="dxa"/>
            <w:tcBorders/>
          </w:tcPr>
          <w:p>
            <w:pPr>
              <w:pStyle w:val="TableContents"/>
              <w:bidi w:val="0"/>
              <w:spacing w:before="0" w:after="0"/>
              <w:jc w:val="left"/>
              <w:rPr/>
            </w:pPr>
            <w:r>
              <w:rPr/>
              <w:t> </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Office of the Comptroller of the Currency</w:t>
            </w:r>
          </w:p>
        </w:tc>
      </w:tr>
      <w:tr>
        <w:trPr/>
        <w:tc>
          <w:tcPr>
            <w:tcW w:w="722" w:type="dxa"/>
            <w:vMerge w:val="continue"/>
            <w:tcBorders/>
          </w:tcPr>
          <w:p>
            <w:pPr>
              <w:pStyle w:val="Normal"/>
              <w:bidi w:val="0"/>
              <w:jc w:val="left"/>
              <w:rPr/>
            </w:pPr>
            <w:r>
              <w:rPr/>
            </w:r>
          </w:p>
        </w:tc>
        <w:tc>
          <w:tcPr>
            <w:tcW w:w="123" w:type="dxa"/>
            <w:tcBorders/>
            <w:vAlign w:val="bottom"/>
          </w:tcPr>
          <w:p>
            <w:pPr>
              <w:pStyle w:val="TableContents"/>
              <w:bidi w:val="0"/>
              <w:spacing w:before="0" w:after="283"/>
              <w:jc w:val="left"/>
              <w:rPr/>
            </w:pPr>
            <w:r>
              <w:rPr/>
              <w:t>  </w:t>
            </w:r>
          </w:p>
        </w:tc>
        <w:tc>
          <w:tcPr>
            <w:tcW w:w="9360" w:type="dxa"/>
            <w:tcBorders/>
          </w:tcPr>
          <w:p>
            <w:pPr>
              <w:pStyle w:val="TableContents"/>
              <w:bidi w:val="0"/>
              <w:spacing w:before="0" w:after="283"/>
              <w:jc w:val="right"/>
              <w:rPr/>
            </w:pPr>
            <w:r>
              <w:rPr/>
              <w:t>Washington, DC 20219</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CERTIFICATE OF CORPORATE EXISTENCE AND FIDUCIARY POWERS </w:t>
      </w:r>
    </w:p>
    <w:p>
      <w:pPr>
        <w:pStyle w:val="TextBody"/>
        <w:bidi w:val="0"/>
        <w:spacing w:before="240" w:after="0"/>
        <w:jc w:val="left"/>
        <w:rPr>
          <w:rFonts w:ascii="Times New Roman" w:hAnsi="Times New Roman"/>
          <w:sz w:val="20"/>
        </w:rPr>
      </w:pPr>
      <w:r>
        <w:rPr>
          <w:rFonts w:ascii="Times New Roman" w:hAnsi="Times New Roman"/>
          <w:sz w:val="20"/>
        </w:rPr>
        <w:t xml:space="preserve">I, Jonathan Gould, Comptroller of the Currency, do hereby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bidi w:val="0"/>
        <w:spacing w:before="120" w:after="0"/>
        <w:jc w:val="left"/>
        <w:rPr>
          <w:rFonts w:ascii="Times New Roman" w:hAnsi="Times New Roman"/>
          <w:sz w:val="20"/>
        </w:rPr>
      </w:pPr>
      <w:r>
        <w:rPr>
          <w:rFonts w:ascii="Times New Roman" w:hAnsi="Times New Roman"/>
          <w:sz w:val="20"/>
        </w:rPr>
        <w:t xml:space="preserve">2. “U.S. Bank Trust Company National Association,” Portland, Oregon (Charter No. 23412), is a national banking association formed under the laws of the United States and is authorized thereunder to transact the business of banking and exercise fiduciary powers on the date of this certificate. </w:t>
      </w:r>
    </w:p>
    <w:p>
      <w:pPr>
        <w:pStyle w:val="TextBody"/>
        <w:bidi w:val="0"/>
        <w:spacing w:before="240" w:after="0"/>
        <w:jc w:val="left"/>
        <w:rPr>
          <w:rFonts w:ascii="Times New Roman" w:hAnsi="Times New Roman"/>
          <w:sz w:val="20"/>
        </w:rPr>
      </w:pPr>
      <w:r>
        <w:rPr>
          <w:rFonts w:ascii="Times New Roman" w:hAnsi="Times New Roman"/>
          <w:sz w:val="20"/>
        </w:rPr>
        <w:t xml:space="preserve">IN TESTIMONY WHEREOF, today, June 5, 2026, I have hereunto subscribed my name and caused my seal of office to be affixed to these presents at the U.S. Department of the Treasury, in the City of Washington, District of Columbia. </w:t>
      </w:r>
    </w:p>
    <w:p>
      <w:pPr>
        <w:pStyle w:val="TextBody"/>
        <w:bidi w:val="0"/>
        <w:spacing w:before="0" w:after="0"/>
        <w:jc w:val="left"/>
        <w:rPr/>
      </w:pPr>
      <w:r>
        <w:rPr/>
        <w:t> </w:t>
      </w:r>
    </w:p>
    <w:p>
      <w:pPr>
        <w:pStyle w:val="TextBody"/>
        <w:bidi w:val="0"/>
        <w:spacing w:before="0" w:after="0"/>
        <w:jc w:val="center"/>
        <w:rPr/>
      </w:pPr>
      <w:r>
        <w:rPr/>
        <w:drawing>
          <wp:inline distT="0" distB="0" distL="0" distR="0">
            <wp:extent cx="2695575" cy="2933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95575" cy="29337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2026-01213-C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4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AMENDED AND RESTATED BYLAWS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Annual Meeting</w:t>
      </w:r>
      <w:r>
        <w:rPr>
          <w:rFonts w:ascii="Times New Roman" w:hAnsi="Times New Roman"/>
          <w:sz w:val="20"/>
        </w:rPr>
        <w:t xml:space="preserve">.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Special Meetings</w:t>
      </w:r>
      <w:r>
        <w:rPr>
          <w:rFonts w:ascii="Times New Roman" w:hAnsi="Times New Roman"/>
          <w:sz w:val="20"/>
        </w:rPr>
        <w:t xml:space="preserve">. Except as otherwise specially provided by law, special meetings of the shareholders may be called for any purpose, at any time by a majority of the board of directors (the “Board”), or by any shareholder or group of shareholders owning at least ten percent of the outstanding stock. </w:t>
      </w:r>
    </w:p>
    <w:p>
      <w:pPr>
        <w:pStyle w:val="TextBody"/>
        <w:bidi w:val="0"/>
        <w:spacing w:before="240" w:after="0"/>
        <w:jc w:val="left"/>
        <w:rPr>
          <w:rFonts w:ascii="Times New Roman" w:hAnsi="Times New Roman"/>
          <w:sz w:val="20"/>
        </w:rPr>
      </w:pPr>
      <w:r>
        <w:rPr>
          <w:rFonts w:ascii="Times New Roman" w:hAnsi="Times New Roman"/>
          <w:sz w:val="20"/>
        </w:rPr>
        <w:t xml:space="preserve">Every such special meeting, unless otherwise provided by law, shall be called upon not less than ten (10) days nor more than sixty (60) days prior notice stating the purpose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Nominations for Directors</w:t>
      </w:r>
      <w:r>
        <w:rPr>
          <w:rFonts w:ascii="Times New Roman" w:hAnsi="Times New Roman"/>
          <w:sz w:val="20"/>
        </w:rPr>
        <w:t xml:space="preserve">. Nominations for election to the Board may be made by the Board or by any shareholder.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Proxies</w:t>
      </w:r>
      <w:r>
        <w:rPr>
          <w:rFonts w:ascii="Times New Roman" w:hAnsi="Times New Roman"/>
          <w:sz w:val="20"/>
        </w:rPr>
        <w:t xml:space="preserve">. Shareholders may vote at any meeting of the shareholders by proxies duly authorized in writing. Proxies shall be valid only for one meeting and any adjournments of such meeting and shall be filed with the records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Record Date</w:t>
      </w:r>
      <w:r>
        <w:rPr>
          <w:rFonts w:ascii="Times New Roman" w:hAnsi="Times New Roman"/>
          <w:sz w:val="20"/>
        </w:rPr>
        <w:t xml:space="preserve">. The record date for determining shareholders entitled to notice and to vote at any meeting will be thirty days before the date of such meeting, unless otherwise determined by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Quorum and Voting</w:t>
      </w:r>
      <w:r>
        <w:rPr>
          <w:rFonts w:ascii="Times New Roman" w:hAnsi="Times New Roman"/>
          <w:sz w:val="20"/>
        </w:rPr>
        <w:t xml:space="preserve">.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Inspectors</w:t>
      </w:r>
      <w:r>
        <w:rPr>
          <w:rFonts w:ascii="Times New Roman" w:hAnsi="Times New Roman"/>
          <w:sz w:val="20"/>
        </w:rPr>
        <w:t xml:space="preserve">.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Waiver and Consent</w:t>
      </w:r>
      <w:r>
        <w:rPr>
          <w:rFonts w:ascii="Times New Roman" w:hAnsi="Times New Roman"/>
          <w:sz w:val="20"/>
        </w:rPr>
        <w:t xml:space="preserve">. The shareholders may act without notice or a meeting by a unanimous written consent by all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Remote Meetings</w:t>
      </w:r>
      <w:r>
        <w:rPr>
          <w:rFonts w:ascii="Times New Roman" w:hAnsi="Times New Roman"/>
          <w:sz w:val="20"/>
        </w:rPr>
        <w:t xml:space="preserve">. The Board shall have the right to determine that a shareholder meeting not be held at a place, but instead be held solely by means of remote communication in the manner and to the extent permitted by the General Corporation Law of the State of Delaware.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Board of Directors</w:t>
      </w:r>
      <w:r>
        <w:rPr>
          <w:rFonts w:ascii="Times New Roman" w:hAnsi="Times New Roman"/>
          <w:sz w:val="20"/>
        </w:rPr>
        <w:t xml:space="preserve">. The Board shall have the power to manage and administer the business and affairs of the Association. Except as expressly limited by law, all corporate powers of the Association shall be vested in and may be exercised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Term of Office</w:t>
      </w:r>
      <w:r>
        <w:rPr>
          <w:rFonts w:ascii="Times New Roman" w:hAnsi="Times New Roman"/>
          <w:sz w:val="20"/>
        </w:rPr>
        <w:t xml:space="preserve">. The directors of this Association shall hold office for one year and until their successors are duly elected and qualified, or until their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Powers</w:t>
      </w:r>
      <w:r>
        <w:rPr>
          <w:rFonts w:ascii="Times New Roman" w:hAnsi="Times New Roman"/>
          <w:sz w:val="20"/>
        </w:rPr>
        <w:t xml:space="preserve">. In addition to the foregoing, the Board shall have and may exercise all of the powers granted to or conferred upon it by the Articles of Association, the Bylaws and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Number</w:t>
      </w:r>
      <w:r>
        <w:rPr>
          <w:rFonts w:ascii="Times New Roman" w:hAnsi="Times New Roman"/>
          <w:sz w:val="20"/>
        </w:rPr>
        <w:t xml:space="preserve">.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Organization Meeting</w:t>
      </w:r>
      <w:r>
        <w:rPr>
          <w:rFonts w:ascii="Times New Roman" w:hAnsi="Times New Roman"/>
          <w:sz w:val="20"/>
        </w:rPr>
        <w:t xml:space="preserve">.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Regular Meetings</w:t>
      </w:r>
      <w:r>
        <w:rPr>
          <w:rFonts w:ascii="Times New Roman" w:hAnsi="Times New Roman"/>
          <w:sz w:val="20"/>
        </w:rPr>
        <w:t xml:space="preserve">. The regular meetings of the Board shall be held, without notice, as the Chairman or President may designate and deem suitable.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Special Meetings</w:t>
      </w:r>
      <w:r>
        <w:rPr>
          <w:rFonts w:ascii="Times New Roman" w:hAnsi="Times New Roman"/>
          <w:sz w:val="20"/>
        </w:rPr>
        <w:t xml:space="preserve">.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Quorum and Necessary Vote</w:t>
      </w:r>
      <w:r>
        <w:rPr>
          <w:rFonts w:ascii="Times New Roman" w:hAnsi="Times New Roman"/>
          <w:sz w:val="20"/>
        </w:rPr>
        <w:t xml:space="preserve">.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Written Consent</w:t>
      </w:r>
      <w:r>
        <w:rPr>
          <w:rFonts w:ascii="Times New Roman" w:hAnsi="Times New Roman"/>
          <w:sz w:val="20"/>
        </w:rPr>
        <w:t xml:space="preserve">. Except as otherwise required by applicable laws and regulations, the Board may act without a meeting by a unanimous written consent by all directors, to be filed with the Secretary of the Association as part of the corporate records.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Remote Meetings</w:t>
      </w:r>
      <w:r>
        <w:rPr>
          <w:rFonts w:ascii="Times New Roman" w:hAnsi="Times New Roman"/>
          <w:sz w:val="20"/>
        </w:rPr>
        <w:t xml:space="preserve">.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Vacancies</w:t>
      </w:r>
      <w:r>
        <w:rPr>
          <w:rFonts w:ascii="Times New Roman" w:hAnsi="Times New Roman"/>
          <w:sz w:val="20"/>
        </w:rPr>
        <w:t xml:space="preserve">. When any vacancy occurs among the directors, the remaining members of the Board may appoint a director to fill such vacancy at any regular meeting of the Board, or at a special meeting called for that purpose.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Advisory Board of Directors</w:t>
      </w:r>
      <w:r>
        <w:rPr>
          <w:rFonts w:ascii="Times New Roman" w:hAnsi="Times New Roman"/>
          <w:sz w:val="20"/>
        </w:rPr>
        <w:t xml:space="preserve">.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Trust Audit Committee</w:t>
      </w:r>
      <w:r>
        <w:rPr>
          <w:rFonts w:ascii="Times New Roman" w:hAnsi="Times New Roman"/>
          <w:sz w:val="20"/>
        </w:rPr>
        <w:t xml:space="preserve">.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Audit Committee of the financial holding company that is the ultimate parent of this Association, fulfilling the function of the trust 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(1) Must not include any officers of the Association or an affiliate who participate significantly in the administration of the Association’s fiduciary activities; and </w:t>
      </w:r>
    </w:p>
    <w:p>
      <w:pPr>
        <w:pStyle w:val="TextBody"/>
        <w:bidi w:val="0"/>
        <w:spacing w:before="120" w:after="0"/>
        <w:jc w:val="left"/>
        <w:rPr>
          <w:rFonts w:ascii="Times New Roman" w:hAnsi="Times New Roman"/>
          <w:sz w:val="20"/>
        </w:rPr>
      </w:pPr>
      <w:r>
        <w:rPr>
          <w:rFonts w:ascii="Times New Roman" w:hAnsi="Times New Roman"/>
          <w:sz w:val="20"/>
        </w:rPr>
        <w:t xml:space="preserve">(2) Must consist of a majority of members who are not also members of any committee to which the Board has delegated power to manage and control the fiduciary activities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Executive Committee</w:t>
      </w:r>
      <w:r>
        <w:rPr>
          <w:rFonts w:ascii="Times New Roman" w:hAnsi="Times New Roman"/>
          <w:sz w:val="20"/>
        </w:rPr>
        <w:t xml:space="preserve">. The Board may appoint an Executive Committee which shall consist of at least three directors and which shall have, and may exercise, to the extent permitted by applicable law, all the powers of the Board between meetings of the Board or otherwise when the Board is not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Trust Management Committee</w:t>
      </w:r>
      <w:r>
        <w:rPr>
          <w:rFonts w:ascii="Times New Roman" w:hAnsi="Times New Roman"/>
          <w:sz w:val="20"/>
        </w:rPr>
        <w:t xml:space="preserve">.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Other Committees</w:t>
      </w:r>
      <w:r>
        <w:rPr>
          <w:rFonts w:ascii="Times New Roman" w:hAnsi="Times New Roman"/>
          <w:sz w:val="20"/>
        </w:rPr>
        <w:t xml:space="preserve">.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Meetings, Minutes and Rules</w:t>
      </w:r>
      <w:r>
        <w:rPr>
          <w:rFonts w:ascii="Times New Roman" w:hAnsi="Times New Roman"/>
          <w:sz w:val="20"/>
        </w:rPr>
        <w:t xml:space="preserve">.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Who Shall Constitute</w:t>
      </w:r>
      <w:r>
        <w:rPr>
          <w:rFonts w:ascii="Times New Roman" w:hAnsi="Times New Roman"/>
          <w:sz w:val="20"/>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Term of Office</w:t>
      </w:r>
      <w:r>
        <w:rPr>
          <w:rFonts w:ascii="Times New Roman" w:hAnsi="Times New Roman"/>
          <w:sz w:val="20"/>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Chairman of the Board</w:t>
      </w:r>
      <w:r>
        <w:rPr>
          <w:rFonts w:ascii="Times New Roman" w:hAnsi="Times New Roman"/>
          <w:sz w:val="20"/>
        </w:rPr>
        <w:t xml:space="preserve">.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President</w:t>
      </w:r>
      <w:r>
        <w:rPr>
          <w:rFonts w:ascii="Times New Roman" w:hAnsi="Times New Roman"/>
          <w:sz w:val="20"/>
        </w:rPr>
        <w:t xml:space="preserve">.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Vice President</w:t>
      </w:r>
      <w:r>
        <w:rPr>
          <w:rFonts w:ascii="Times New Roman" w:hAnsi="Times New Roman"/>
          <w:sz w:val="20"/>
        </w:rPr>
        <w:t xml:space="preserve">.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Secretary</w:t>
      </w:r>
      <w:r>
        <w:rPr>
          <w:rFonts w:ascii="Times New Roman" w:hAnsi="Times New Roman"/>
          <w:sz w:val="20"/>
        </w:rPr>
        <w:t xml:space="preserve">.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Other Officers</w:t>
      </w:r>
      <w:r>
        <w:rPr>
          <w:rFonts w:ascii="Times New Roman" w:hAnsi="Times New Roman"/>
          <w:sz w:val="20"/>
        </w:rPr>
        <w:t xml:space="preserve">.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VI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Corporate Seal </w:t>
      </w:r>
    </w:p>
    <w:p>
      <w:pPr>
        <w:pStyle w:val="TextBody"/>
        <w:bidi w:val="0"/>
        <w:spacing w:before="240" w:after="0"/>
        <w:jc w:val="left"/>
        <w:rPr>
          <w:rFonts w:ascii="Times New Roman" w:hAnsi="Times New Roman"/>
          <w:sz w:val="20"/>
        </w:rPr>
      </w:pPr>
      <w:r>
        <w:rPr>
          <w:rFonts w:ascii="Times New Roman" w:hAnsi="Times New Roman"/>
          <w:sz w:val="20"/>
        </w:rPr>
        <w:t xml:space="preserve">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Execution of Instruments</w:t>
      </w:r>
      <w:r>
        <w:rPr>
          <w:rFonts w:ascii="Times New Roman" w:hAnsi="Times New Roman"/>
          <w:sz w:val="20"/>
        </w:rPr>
        <w:t xml:space="preserve">.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Records</w:t>
      </w:r>
      <w:r>
        <w:rPr>
          <w:rFonts w:ascii="Times New Roman" w:hAnsi="Times New Roman"/>
          <w:sz w:val="20"/>
        </w:rPr>
        <w:t xml:space="preserve">.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Trust Files</w:t>
      </w:r>
      <w:r>
        <w:rPr>
          <w:rFonts w:ascii="Times New Roman" w:hAnsi="Times New Roman"/>
          <w:sz w:val="20"/>
        </w:rPr>
        <w:t xml:space="preserve">. There shall be maintained in the Association files all fiduciary records necessary to assure that its fiduciary responsibilities have been properly undertaken and discharged.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 Investments</w:t>
      </w:r>
      <w:r>
        <w:rPr>
          <w:rFonts w:ascii="Times New Roman" w:hAnsi="Times New Roman"/>
          <w:sz w:val="20"/>
        </w:rPr>
        <w:t xml:space="preserve">.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w:t>
      </w:r>
      <w:r>
        <w:rPr>
          <w:rFonts w:ascii="Times New Roman" w:hAnsi="Times New Roman"/>
          <w:sz w:val="20"/>
        </w:rPr>
        <w:t xml:space="preserve">.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 </w:t>
      </w:r>
    </w:p>
    <w:p>
      <w:pPr>
        <w:pStyle w:val="TextBody"/>
        <w:bidi w:val="0"/>
        <w:spacing w:before="240" w:after="0"/>
        <w:jc w:val="left"/>
        <w:rPr>
          <w:rFonts w:ascii="Times New Roman" w:hAnsi="Times New Roman"/>
          <w:sz w:val="20"/>
        </w:rPr>
      </w:pPr>
      <w:r>
        <w:rPr>
          <w:rFonts w:ascii="Times New Roman" w:hAnsi="Times New Roman"/>
          <w:sz w:val="20"/>
        </w:rPr>
        <w:t xml:space="preserve">Except where specified otherwise in these Bylaws, prior notice shall be proper if given not more than 30 days nor less than 10 days prior to the event for which notice is given.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 </w:t>
      </w:r>
    </w:p>
    <w:p>
      <w:pPr>
        <w:pStyle w:val="TextBody"/>
        <w:bidi w:val="0"/>
        <w:spacing w:before="240" w:after="0"/>
        <w:jc w:val="left"/>
        <w:rPr>
          <w:rFonts w:ascii="Times New Roman" w:hAnsi="Times New Roman"/>
          <w:sz w:val="20"/>
        </w:rPr>
      </w:pPr>
      <w:r>
        <w:rPr>
          <w:rFonts w:ascii="Times New Roman" w:hAnsi="Times New Roman"/>
          <w:sz w:val="20"/>
        </w:rPr>
        <w:t xml:space="preserve">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IX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Bylaws: Interpretation and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9.1. These Bylaws shall be interpreted in accordance with and subject to appropriate provisions of law, and may be added to, altered, amended, or repealed, at any regular or special meeting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9.2. A copy of the Bylaws and all amendments shall at all times be kept in a convenient place at the principal office of the Association, and shall be open for inspection to all shareholders during Association hours.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Fiscal Year</w:t>
      </w:r>
      <w:r>
        <w:rPr>
          <w:rFonts w:ascii="Times New Roman" w:hAnsi="Times New Roman"/>
          <w:sz w:val="20"/>
        </w:rPr>
        <w:t xml:space="preserve">. The fiscal year of the Association shall begin on the first day of January in each year and shall end on the thirty-first day of December following.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Governing Law</w:t>
      </w:r>
      <w:r>
        <w:rPr>
          <w:rFonts w:ascii="Times New Roman" w:hAnsi="Times New Roman"/>
          <w:sz w:val="20"/>
        </w:rPr>
        <w:t xml:space="preserve">. This Association designates the Delaware General Corporation Law, as amended from time to time, as the governing law for its corporate governance procedures, to the extent not inconsistent with Federal banking statutes and regulations or bank safety and soundness.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(November 6,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6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bidi w:val="0"/>
        <w:spacing w:before="240" w:after="0"/>
        <w:jc w:val="left"/>
        <w:rPr>
          <w:rFonts w:ascii="Times New Roman" w:hAnsi="Times New Roman"/>
          <w:sz w:val="20"/>
        </w:rPr>
      </w:pPr>
      <w:r>
        <w:rPr>
          <w:rFonts w:ascii="Times New Roman" w:hAnsi="Times New Roman"/>
          <w:sz w:val="20"/>
        </w:rPr>
        <w:t xml:space="preserve">Dated: October 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Jason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David Jason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Vice President</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7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as of 6/30/2026 </w:t>
      </w:r>
    </w:p>
    <w:p>
      <w:pPr>
        <w:pStyle w:val="TextBody"/>
        <w:bidi w:val="0"/>
        <w:spacing w:before="240" w:after="0"/>
        <w:jc w:val="center"/>
        <w:rPr>
          <w:rFonts w:ascii="Times New Roman" w:hAnsi="Times New Roman"/>
          <w:b/>
          <w:sz w:val="20"/>
        </w:rPr>
      </w:pPr>
      <w:r>
        <w:rPr>
          <w:rFonts w:ascii="Times New Roman" w:hAnsi="Times New Roman"/>
          <w:b/>
          <w:sz w:val="20"/>
        </w:rPr>
        <w:t xml:space="preserve">($000’s)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8"/>
        <w:gridCol w:w="246"/>
        <w:gridCol w:w="140"/>
        <w:gridCol w:w="1009"/>
        <w:gridCol w:w="62"/>
      </w:tblGrid>
      <w:tr>
        <w:trPr/>
        <w:tc>
          <w:tcPr>
            <w:tcW w:w="8748"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4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6/30/2026</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Cash and Balances Due From Depository Institutions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2,474,094</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4,673</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Federal Funds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&amp; Lease Financing Receivables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447</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573,109</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154,375</w:t>
            </w:r>
          </w:p>
        </w:tc>
        <w:tc>
          <w:tcPr>
            <w:tcW w:w="62" w:type="dxa"/>
            <w:tcBorders/>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09" w:type="dxa"/>
            <w:tcBorders/>
            <w:shd w:fill="CCEEFF" w:val="clear"/>
            <w:vAlign w:val="bottom"/>
          </w:tcPr>
          <w:p>
            <w:pPr>
              <w:pStyle w:val="TableContents"/>
              <w:bidi w:val="0"/>
              <w:spacing w:before="0" w:after="283"/>
              <w:jc w:val="right"/>
              <w:rPr>
                <w:b/>
              </w:rPr>
            </w:pPr>
            <w:r>
              <w:rPr>
                <w:b/>
              </w:rPr>
              <w:t>3,206,698</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Fed Funds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Demand Notes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Trading Liabilities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Borrowed Money</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Acceptances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Subordinated Notes and Debentures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268,325</w:t>
            </w:r>
          </w:p>
        </w:tc>
        <w:tc>
          <w:tcPr>
            <w:tcW w:w="62" w:type="dxa"/>
            <w:tcBorders/>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09" w:type="dxa"/>
            <w:tcBorders/>
            <w:shd w:fill="CCEEFF" w:val="clear"/>
            <w:vAlign w:val="bottom"/>
          </w:tcPr>
          <w:p>
            <w:pPr>
              <w:pStyle w:val="TableContents"/>
              <w:bidi w:val="0"/>
              <w:spacing w:before="0" w:after="283"/>
              <w:jc w:val="right"/>
              <w:rPr>
                <w:b/>
              </w:rPr>
            </w:pPr>
            <w:r>
              <w:rPr>
                <w:b/>
              </w:rPr>
              <w:t>268,325</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and Preferred Stock</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200</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Surplus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1,171,635</w:t>
            </w:r>
          </w:p>
        </w:tc>
        <w:tc>
          <w:tcPr>
            <w:tcW w:w="62" w:type="dxa"/>
            <w:tcBorders/>
            <w:vAlign w:val="bottom"/>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Undivided Profits</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1,766,538</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sz w:val="20"/>
              </w:rPr>
            </w:pPr>
            <w:r>
              <w:rPr>
                <w:rFonts w:ascii="Times New Roman" w:hAnsi="Times New Roman"/>
                <w:sz w:val="20"/>
              </w:rPr>
              <w:t>Minority Interest in Subsidiaries</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w:t>
            </w:r>
          </w:p>
        </w:tc>
        <w:tc>
          <w:tcPr>
            <w:tcW w:w="62" w:type="dxa"/>
            <w:tcBorders/>
            <w:vAlign w:val="bottom"/>
          </w:tcPr>
          <w:p>
            <w:pPr>
              <w:pStyle w:val="TableContents"/>
              <w:bidi w:val="0"/>
              <w:spacing w:before="0" w:after="283"/>
              <w:jc w:val="left"/>
              <w:rPr/>
            </w:pPr>
            <w:r>
              <w:rPr/>
              <w:t> </w:t>
            </w:r>
          </w:p>
        </w:tc>
      </w:tr>
      <w:tr>
        <w:trPr/>
        <w:tc>
          <w:tcPr>
            <w:tcW w:w="8748"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 Capital</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09" w:type="dxa"/>
            <w:tcBorders/>
            <w:shd w:fill="CCEEFF" w:val="clear"/>
            <w:vAlign w:val="bottom"/>
          </w:tcPr>
          <w:p>
            <w:pPr>
              <w:pStyle w:val="TableContents"/>
              <w:bidi w:val="0"/>
              <w:spacing w:before="0" w:after="283"/>
              <w:jc w:val="right"/>
              <w:rPr>
                <w:b/>
              </w:rPr>
            </w:pPr>
            <w:r>
              <w:rPr>
                <w:b/>
              </w:rPr>
              <w:t>2,938,373</w:t>
            </w:r>
          </w:p>
        </w:tc>
        <w:tc>
          <w:tcPr>
            <w:tcW w:w="62" w:type="dxa"/>
            <w:tcBorders/>
            <w:shd w:fill="CCEEFF" w:val="clear"/>
            <w:vAlign w:val="bottom"/>
          </w:tcPr>
          <w:p>
            <w:pPr>
              <w:pStyle w:val="TableContents"/>
              <w:bidi w:val="0"/>
              <w:spacing w:before="0" w:after="283"/>
              <w:jc w:val="left"/>
              <w:rPr/>
            </w:pPr>
            <w:r>
              <w:rPr/>
              <w:t> </w:t>
            </w:r>
          </w:p>
        </w:tc>
      </w:tr>
      <w:tr>
        <w:trPr/>
        <w:tc>
          <w:tcPr>
            <w:tcW w:w="87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 Capital</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9" w:type="dxa"/>
            <w:tcBorders/>
            <w:vAlign w:val="bottom"/>
          </w:tcPr>
          <w:p>
            <w:pPr>
              <w:pStyle w:val="TableContents"/>
              <w:bidi w:val="0"/>
              <w:spacing w:before="0" w:after="283"/>
              <w:jc w:val="right"/>
              <w:rPr>
                <w:b/>
              </w:rPr>
            </w:pPr>
            <w:r>
              <w:rPr>
                <w:b/>
              </w:rPr>
              <w:t>3,206,698</w:t>
            </w:r>
          </w:p>
        </w:tc>
        <w:tc>
          <w:tcPr>
            <w:tcW w:w="62"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6680</Words>
  <Characters>34243</Characters>
  <CharactersWithSpaces>41021</CharactersWithSpaces>
  <Paragraphs>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305B2</dc:title>
</cp:coreProperties>
</file>