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001-39323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VAXCYTE,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tbl>
      <w:tblPr>
        <w:tblW w:w="3929" w:type="dxa"/>
        <w:jc w:val="left"/>
        <w:tblInd w:w="0" w:type="dxa"/>
        <w:tblLayout w:type="fixed"/>
        <w:tblCellMar>
          <w:top w:w="28" w:type="dxa"/>
          <w:left w:w="28" w:type="dxa"/>
          <w:bottom w:w="28" w:type="dxa"/>
          <w:right w:w="28" w:type="dxa"/>
        </w:tblCellMar>
      </w:tblPr>
      <w:tblGrid>
        <w:gridCol w:w="970"/>
        <w:gridCol w:w="852"/>
        <w:gridCol w:w="863"/>
        <w:gridCol w:w="363"/>
        <w:gridCol w:w="363"/>
        <w:gridCol w:w="518"/>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825 Industrial Road, Suite 300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Carlos, California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0" w:after="0"/>
        <w:ind w:left="0" w:right="0" w:firstLine="555"/>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987" w:type="dxa"/>
        <w:jc w:val="left"/>
        <w:tblInd w:w="0" w:type="dxa"/>
        <w:tblLayout w:type="fixed"/>
        <w:tblCellMar>
          <w:top w:w="28" w:type="dxa"/>
          <w:left w:w="28" w:type="dxa"/>
          <w:bottom w:w="28" w:type="dxa"/>
          <w:right w:w="28" w:type="dxa"/>
        </w:tblCellMar>
      </w:tblPr>
      <w:tblGrid>
        <w:gridCol w:w="1155"/>
        <w:gridCol w:w="1013"/>
        <w:gridCol w:w="1027"/>
        <w:gridCol w:w="109"/>
        <w:gridCol w:w="109"/>
        <w:gridCol w:w="109"/>
        <w:gridCol w:w="274"/>
        <w:gridCol w:w="274"/>
        <w:gridCol w:w="276"/>
        <w:gridCol w:w="109"/>
        <w:gridCol w:w="109"/>
        <w:gridCol w:w="109"/>
        <w:gridCol w:w="970"/>
        <w:gridCol w:w="970"/>
        <w:gridCol w:w="137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PCVX</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The </w:t>
            </w:r>
            <w:r>
              <w:rPr>
                <w:rFonts w:ascii="Times New Roman;serif" w:hAnsi="Times New Roman;serif"/>
                <w:b w:val="false"/>
                <w:color w:val="000000"/>
                <w:sz w:val="18"/>
              </w:rPr>
              <w:t>Nasdaq Stock Market</w:t>
            </w:r>
          </w:p>
        </w:tc>
      </w:tr>
    </w:tbl>
    <w:p>
      <w:pPr>
        <w:pStyle w:val="TextBody"/>
        <w:bidi w:val="0"/>
        <w:spacing w:lineRule="auto" w:line="288" w:before="2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As of August 3, 2026, the registrant had 148,805,278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20"/>
                        <w:jc w:val="center"/>
                        <w:rPr/>
                      </w:pPr>
                      <w:r>
                        <w:rPr/>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6">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6">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9">
              <w:r>
                <w:rPr>
                  <w:rStyle w:val="InternetLink"/>
                  <w:rFonts w:ascii="Times New Roman;serif" w:hAnsi="Times New Roman;serif"/>
                  <w:b w:val="false"/>
                  <w:color w:val="0000FF"/>
                  <w:sz w:val="20"/>
                  <w:u w:val="single"/>
                </w:rPr>
                <w:t>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9">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22">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25">
              <w:r>
                <w:rPr>
                  <w:rStyle w:val="InternetLink"/>
                  <w:rFonts w:ascii="Times New Roman;serif" w:hAnsi="Times New Roman;serif"/>
                  <w:b w:val="false"/>
                  <w:color w:val="000080"/>
                  <w:sz w:val="20"/>
                  <w:u w:val="single"/>
                </w:rPr>
                <w:t xml:space="preserve">Condensed </w:t>
              </w:r>
            </w:hyperlink>
            <w:hyperlink w:anchor="iec100c8503df44e3b479a2b9131ec4d7_22">
              <w:r>
                <w:rPr>
                  <w:rStyle w:val="InternetLink"/>
                  <w:rFonts w:ascii="Times New Roman;serif" w:hAnsi="Times New Roman;serif"/>
                  <w:b w:val="false"/>
                  <w:color w:val="000080"/>
                  <w:sz w:val="20"/>
                  <w:u w:val="single"/>
                </w:rPr>
                <w:t>Consolidated</w:t>
              </w:r>
            </w:hyperlink>
            <w:r>
              <w:rPr>
                <w:color w:val="000000"/>
              </w:rPr>
              <w:t xml:space="preserve"> </w:t>
            </w:r>
            <w:hyperlink w:anchor="iec100c8503df44e3b479a2b9131ec4d7_25">
              <w:r>
                <w:rPr>
                  <w:rStyle w:val="InternetLink"/>
                  <w:rFonts w:ascii="Times New Roman;serif" w:hAnsi="Times New Roman;serif"/>
                  <w:b w:val="false"/>
                  <w:color w:val="0000FF"/>
                  <w:sz w:val="20"/>
                  <w:u w:val="single"/>
                </w:rPr>
                <w:t>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25">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28">
              <w:r>
                <w:rPr>
                  <w:rStyle w:val="InternetLink"/>
                  <w:rFonts w:ascii="Times New Roman;serif" w:hAnsi="Times New Roman;serif"/>
                  <w:b w:val="false"/>
                  <w:color w:val="000080"/>
                  <w:sz w:val="20"/>
                  <w:u w:val="single"/>
                </w:rPr>
                <w:t xml:space="preserve">Condensed </w:t>
              </w:r>
            </w:hyperlink>
            <w:hyperlink w:anchor="iec100c8503df44e3b479a2b9131ec4d7_22">
              <w:r>
                <w:rPr>
                  <w:rStyle w:val="InternetLink"/>
                  <w:rFonts w:ascii="Times New Roman;serif" w:hAnsi="Times New Roman;serif"/>
                  <w:b w:val="false"/>
                  <w:color w:val="000080"/>
                  <w:sz w:val="20"/>
                  <w:u w:val="single"/>
                </w:rPr>
                <w:t>Consolidated</w:t>
              </w:r>
            </w:hyperlink>
            <w:r>
              <w:rPr>
                <w:color w:val="000000"/>
              </w:rPr>
              <w:t xml:space="preserve"> </w:t>
            </w:r>
            <w:hyperlink w:anchor="iec100c8503df44e3b479a2b9131ec4d7_28">
              <w:r>
                <w:rPr>
                  <w:rStyle w:val="InternetLink"/>
                  <w:rFonts w:ascii="Times New Roman;serif" w:hAnsi="Times New Roman;serif"/>
                  <w:b w:val="false"/>
                  <w:color w:val="0000FF"/>
                  <w:sz w:val="20"/>
                  <w:u w:val="single"/>
                </w:rPr>
                <w:t>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28">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31">
              <w:r>
                <w:rPr>
                  <w:rStyle w:val="InternetLink"/>
                  <w:rFonts w:ascii="Times New Roman;serif" w:hAnsi="Times New Roman;serif"/>
                  <w:b w:val="false"/>
                  <w:color w:val="000080"/>
                  <w:sz w:val="20"/>
                  <w:u w:val="single"/>
                </w:rPr>
                <w:t>Condensed</w:t>
              </w:r>
            </w:hyperlink>
            <w:hyperlink w:anchor="iec100c8503df44e3b479a2b9131ec4d7_22">
              <w:r>
                <w:rPr>
                  <w:rStyle w:val="InternetLink"/>
                  <w:rFonts w:ascii="Times New Roman;serif" w:hAnsi="Times New Roman;serif"/>
                  <w:b w:val="false"/>
                  <w:color w:val="000080"/>
                  <w:sz w:val="20"/>
                  <w:u w:val="single"/>
                </w:rPr>
                <w:t xml:space="preserve"> Consolidated</w:t>
              </w:r>
            </w:hyperlink>
            <w:r>
              <w:rPr>
                <w:color w:val="000000"/>
              </w:rPr>
              <w:t xml:space="preserve"> </w:t>
            </w:r>
            <w:hyperlink w:anchor="iec100c8503df44e3b479a2b9131ec4d7_31">
              <w:r>
                <w:rPr>
                  <w:rStyle w:val="InternetLink"/>
                  <w:rFonts w:ascii="Times New Roman;serif" w:hAnsi="Times New Roman;serif"/>
                  <w:b w:val="false"/>
                  <w:color w:val="0000FF"/>
                  <w:sz w:val="20"/>
                  <w:u w:val="single"/>
                </w:rPr>
                <w:t>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31">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34">
              <w:r>
                <w:rPr>
                  <w:rStyle w:val="InternetLink"/>
                  <w:rFonts w:ascii="Times New Roman;serif" w:hAnsi="Times New Roman;serif"/>
                  <w:b w:val="false"/>
                  <w:color w:val="000080"/>
                  <w:sz w:val="20"/>
                  <w:u w:val="single"/>
                </w:rPr>
                <w:t xml:space="preserve">Condensed </w:t>
              </w:r>
            </w:hyperlink>
            <w:hyperlink w:anchor="iec100c8503df44e3b479a2b9131ec4d7_22">
              <w:r>
                <w:rPr>
                  <w:rStyle w:val="InternetLink"/>
                  <w:rFonts w:ascii="Times New Roman;serif" w:hAnsi="Times New Roman;serif"/>
                  <w:b w:val="false"/>
                  <w:color w:val="000080"/>
                  <w:sz w:val="20"/>
                  <w:u w:val="single"/>
                </w:rPr>
                <w:t>Consolidated</w:t>
              </w:r>
            </w:hyperlink>
            <w:r>
              <w:rPr>
                <w:color w:val="000000"/>
              </w:rPr>
              <w:t xml:space="preserve"> </w:t>
            </w:r>
            <w:hyperlink w:anchor="iec100c8503df44e3b479a2b9131ec4d7_34">
              <w:r>
                <w:rPr>
                  <w:rStyle w:val="InternetLink"/>
                  <w:rFonts w:ascii="Times New Roman;serif" w:hAnsi="Times New Roman;serif"/>
                  <w:b w:val="false"/>
                  <w:color w:val="0000FF"/>
                  <w:sz w:val="20"/>
                  <w:u w:val="single"/>
                </w:rPr>
                <w:t>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34">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37">
              <w:r>
                <w:rPr>
                  <w:rStyle w:val="InternetLink"/>
                  <w:rFonts w:ascii="Times New Roman;serif" w:hAnsi="Times New Roman;serif"/>
                  <w:b w:val="false"/>
                  <w:color w:val="000080"/>
                  <w:sz w:val="20"/>
                  <w:u w:val="single"/>
                </w:rPr>
                <w:t xml:space="preserve">Notes to Unaudited Condensed </w:t>
              </w:r>
            </w:hyperlink>
            <w:hyperlink w:anchor="iec100c8503df44e3b479a2b9131ec4d7_22">
              <w:r>
                <w:rPr>
                  <w:rStyle w:val="InternetLink"/>
                  <w:rFonts w:ascii="Times New Roman;serif" w:hAnsi="Times New Roman;serif"/>
                  <w:b w:val="false"/>
                  <w:color w:val="000080"/>
                  <w:sz w:val="20"/>
                  <w:u w:val="single"/>
                </w:rPr>
                <w:t>Consolidated</w:t>
              </w:r>
            </w:hyperlink>
            <w:r>
              <w:rPr>
                <w:color w:val="000000"/>
              </w:rPr>
              <w:t xml:space="preserve"> </w:t>
            </w:r>
            <w:hyperlink w:anchor="iec100c8503df44e3b479a2b9131ec4d7_37">
              <w:r>
                <w:rPr>
                  <w:rStyle w:val="InternetLink"/>
                  <w:rFonts w:ascii="Times New Roman;serif" w:hAnsi="Times New Roman;serif"/>
                  <w:b w:val="false"/>
                  <w:color w:val="0000FF"/>
                  <w:sz w:val="20"/>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37">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7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76">
              <w:r>
                <w:rPr>
                  <w:rStyle w:val="InternetLink"/>
                  <w:rFonts w:ascii="Times New Roman;serif" w:hAnsi="Times New Roman;serif"/>
                  <w:b w:val="false"/>
                  <w:strike w:val="false"/>
                  <w:dstrike w:val="false"/>
                  <w:color w:val="000000"/>
                  <w:sz w:val="20"/>
                  <w:u w:val="none"/>
                  <w:effect w:val="none"/>
                </w:rPr>
                <w:t>21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0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0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03">
              <w:r>
                <w:rPr>
                  <w:rStyle w:val="InternetLink"/>
                  <w:rFonts w:ascii="Times New Roman;serif" w:hAnsi="Times New Roman;serif"/>
                  <w:b w:val="false"/>
                  <w:strike w:val="false"/>
                  <w:dstrike w:val="false"/>
                  <w:color w:val="000000"/>
                  <w:sz w:val="20"/>
                  <w:u w:val="none"/>
                  <w:effect w:val="none"/>
                </w:rPr>
                <w:t>39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0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06">
              <w:r>
                <w:rPr>
                  <w:rStyle w:val="InternetLink"/>
                  <w:rFonts w:ascii="Times New Roman;serif" w:hAnsi="Times New Roman;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06">
              <w:r>
                <w:rPr>
                  <w:rStyle w:val="InternetLink"/>
                  <w:rFonts w:ascii="Times New Roman;serif" w:hAnsi="Times New Roman;serif"/>
                  <w:b w:val="false"/>
                  <w:strike w:val="false"/>
                  <w:dstrike w:val="false"/>
                  <w:color w:val="000000"/>
                  <w:sz w:val="20"/>
                  <w:u w:val="none"/>
                  <w:effect w:val="none"/>
                </w:rPr>
                <w:t>41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09">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09">
              <w:r>
                <w:rPr>
                  <w:rStyle w:val="InternetLink"/>
                  <w:rFonts w:ascii="Times New Roman;serif" w:hAnsi="Times New Roman;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12">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12">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12">
              <w:r>
                <w:rPr>
                  <w:rStyle w:val="InternetLink"/>
                  <w:rFonts w:ascii="Times New Roman;serif" w:hAnsi="Times New Roman;serif"/>
                  <w:b w:val="false"/>
                  <w:strike w:val="false"/>
                  <w:dstrike w:val="false"/>
                  <w:color w:val="000000"/>
                  <w:sz w:val="20"/>
                  <w:u w:val="none"/>
                  <w:effect w:val="none"/>
                </w:rPr>
                <w:t>42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15">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15">
              <w:r>
                <w:rPr>
                  <w:rStyle w:val="InternetLink"/>
                  <w:rFonts w:ascii="Times New Roman;serif" w:hAnsi="Times New Roman;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15">
              <w:r>
                <w:rPr>
                  <w:rStyle w:val="InternetLink"/>
                  <w:rFonts w:ascii="Times New Roman;serif" w:hAnsi="Times New Roman;serif"/>
                  <w:b w:val="false"/>
                  <w:strike w:val="false"/>
                  <w:dstrike w:val="false"/>
                  <w:color w:val="000000"/>
                  <w:sz w:val="20"/>
                  <w:u w:val="none"/>
                  <w:effect w:val="none"/>
                </w:rPr>
                <w:t>42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1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1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21">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21">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24">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24">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24">
              <w:r>
                <w:rPr>
                  <w:rStyle w:val="InternetLink"/>
                  <w:rFonts w:ascii="Times New Roman;serif" w:hAnsi="Times New Roman;serif"/>
                  <w:b w:val="false"/>
                  <w:strike w:val="false"/>
                  <w:dstrike w:val="false"/>
                  <w:color w:val="000000"/>
                  <w:sz w:val="20"/>
                  <w:u w:val="none"/>
                  <w:effect w:val="none"/>
                </w:rPr>
                <w:t>85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27">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27">
              <w:r>
                <w:rPr>
                  <w:rStyle w:val="InternetLink"/>
                  <w:rFonts w:ascii="Times New Roman;serif" w:hAnsi="Times New Roman;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27">
              <w:r>
                <w:rPr>
                  <w:rStyle w:val="InternetLink"/>
                  <w:rFonts w:ascii="Times New Roman;serif" w:hAnsi="Times New Roman;serif"/>
                  <w:b w:val="false"/>
                  <w:strike w:val="false"/>
                  <w:dstrike w:val="false"/>
                  <w:color w:val="000000"/>
                  <w:sz w:val="20"/>
                  <w:u w:val="none"/>
                  <w:effect w:val="none"/>
                </w:rPr>
                <w:t>85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33">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33">
              <w:r>
                <w:rPr>
                  <w:rStyle w:val="InternetLink"/>
                  <w:rFonts w:ascii="Times New Roman;serif" w:hAnsi="Times New Roman;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33">
              <w:r>
                <w:rPr>
                  <w:rStyle w:val="InternetLink"/>
                  <w:rFonts w:ascii="Times New Roman;serif" w:hAnsi="Times New Roman;serif"/>
                  <w:b w:val="false"/>
                  <w:strike w:val="false"/>
                  <w:dstrike w:val="false"/>
                  <w:color w:val="000000"/>
                  <w:sz w:val="20"/>
                  <w:u w:val="none"/>
                  <w:effect w:val="none"/>
                </w:rPr>
                <w:t>86</w:t>
              </w:r>
            </w:hyperlink>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c100c8503df44e3b479a2b9131ec4d7_136">
              <w:r>
                <w:rPr>
                  <w:rStyle w:val="InternetLink"/>
                  <w:rFonts w:ascii="Times New Roman;serif" w:hAnsi="Times New Roman;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c100c8503df44e3b479a2b9131ec4d7_136">
              <w:r>
                <w:rPr>
                  <w:rStyle w:val="InternetLink"/>
                  <w:rFonts w:ascii="Times New Roman;serif" w:hAnsi="Times New Roman;serif"/>
                  <w:b w:val="false"/>
                  <w:strike w:val="false"/>
                  <w:dstrike w:val="false"/>
                  <w:color w:val="000000"/>
                  <w:sz w:val="20"/>
                  <w:u w:val="none"/>
                  <w:effect w:val="none"/>
                </w:rPr>
                <w:t>87</w:t>
              </w:r>
            </w:hyperlink>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“we,” “us,” “our,” “our company” and “Vaxcyte” refer to Vaxcyte, Inc. and its wholly owned consolidated subsidiary.</w:t>
      </w:r>
    </w:p>
    <w:p>
      <w:pPr>
        <w:pStyle w:val="TextBody"/>
        <w:bidi w:val="0"/>
        <w:spacing w:lineRule="auto" w:line="276" w:before="240" w:after="283"/>
        <w:jc w:val="left"/>
        <w:rPr>
          <w:color w:val="000000"/>
        </w:rPr>
      </w:pPr>
      <w:r>
        <w:rPr>
          <w:color w:val="000000"/>
        </w:rPr>
        <w:t>“</w:t>
      </w:r>
      <w:r>
        <w:rPr>
          <w:rFonts w:ascii="Times New Roman;serif" w:hAnsi="Times New Roman;serif"/>
          <w:b w:val="false"/>
          <w:color w:val="000000"/>
          <w:sz w:val="20"/>
        </w:rPr>
        <w:t>Vaxcyte,” “eCRM,” and other trademarks of ours appearing in this report are our property. This report contains additional trade names and trademarks of other companies. We do not intend our use or display of other companies’ trade names or trademarks to imply an endorsement or sponsorship of us by such companies, or any relationship with any of these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Forward-looking statements contained in this Quarterly Report on Form 10-Q include, but are not limited to, statements about: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expectations regarding the potential benefits, spectrum of coverage and immunogenicity of our vaccine candidates;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expectations regarding our preclinical study results and prior clinical study results potentially being predictive of future clinical study results;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timing of the initiation, progress and potential results of our preclinical studies, clinical trials and our research and development programs;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our ability to advance vaccine candidates into, and successfully complete, preclinical studies and clinical trials;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commercialization of our vaccine candidates, if approved;</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estimates of our future expenses, capital requirements and our needs for additional financing;</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ability to establish and maintain intellectual property protection for our products or avoid claims of infringement;</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and our third-party manufacturers’ manufacturing capabilities and the scalable nature of our manufacturing process;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potential effects of extensive or changes in government regulation;</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pricing, coverage and reimbursement of our vaccine candidates, if approved;</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ability and the ability of our third-party contract manufacturers to operate and continue operations;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ability to hire and retain key personnel;</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ability to obtain additional financing; and</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volatility of the trading price of our common stock.</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Actual events or results may differ from those expressed in forward-looking statements.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While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Summary of Risks Affecting Our Business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discussed more fully in the section titled “Risk Factors” in this Quarterly Report on Form 10-Q. These risks include, but are not limited to, the following:</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We are in the clinical or preclinical stages of vaccine development and have a limited operating history and no products approved for commercial sale, which may make it difficult for you to evaluate the success of our business to date and to assess our future viability.</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vaccine candidates are in clinical or preclinical stages of development and may fail in development or suffer delays that materially and adversely affect their commercial viability. If we are unable to complete development of or commercialize our vaccine candidates or experience significant delays in doing so, our business would be materially harmed.</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U.S. Food and Drug Administration ("FDA") may disagree with our regulatory plan, and we may fail to obtain regulatory approval of our vaccine candidates.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Our business is highly dependent on the success of our pneumococcal conjugate vaccine ("PCV") candidates. If we are unable to successfully develop, obtain approval for and effectively commercialize our PCV candidates, our business would be significantly harmed.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Our primary competitors have significantly greater resources and experience than we do, which may make it difficult for us to successfully develop and commercialize our vaccine candidates, or may result in others discovering, developing or commercializing products before or more successfully than us.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We may not be successful in our efforts to use our cell-free protein synthesis platform to expand our pipeline of vaccine candidates and develop marketable products.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We currently rely on third-party manufacturing and supply partners to supply raw materials and components for, and the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FDA regulatory approval process is lengthy and time-consuming, and we may experience significant delays in the clinical development and regulatory approval of our vaccine candidates.</w:t>
      </w:r>
    </w:p>
    <w:p>
      <w:pPr>
        <w:pStyle w:val="TextBody"/>
        <w:bidi w:val="0"/>
        <w:spacing w:before="240" w:after="283"/>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 xml:space="preserve">The development, review and approval of our product candidates are subject to the operational capacity, processes and resource levels of regulatory authorities, which may fluctuate over time and could delay or adversely affect our business.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If we are unable to obtain and maintain patent protection for our technology and products, or if the scope of the patent protection obtained is not sufficiently broad, we may not be able to compete effectively in our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and per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2"/>
        <w:gridCol w:w="2260"/>
        <w:gridCol w:w="2237"/>
        <w:gridCol w:w="196"/>
        <w:gridCol w:w="871"/>
        <w:gridCol w:w="109"/>
        <w:gridCol w:w="109"/>
        <w:gridCol w:w="109"/>
        <w:gridCol w:w="109"/>
        <w:gridCol w:w="220"/>
        <w:gridCol w:w="978"/>
        <w:gridCol w:w="175"/>
      </w:tblGrid>
      <w:tr>
        <w:trPr/>
        <w:tc>
          <w:tcPr>
            <w:tcW w:w="283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1,627,361 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257,370 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881,664 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1,375,356 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3,138,154 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3,002,717 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contract manufacturing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74,654 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205,750 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long-term</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111,457 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317,207 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6)</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 10,000,000 shares authorized at June 30, 2026 and December 31, 2025; no shares issued and outstanding at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 500,000,000 shares authorized at June 30, 2026 and December 31, 2025; 144,785,934 and 131,058,858 shares issued and outstanding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4,838,736 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(gain)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(2,759,871)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(2,154,947)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2,757,942 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2,685,510 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3,138,154 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3,002,717 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and per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701" w:type="dxa"/>
        <w:jc w:val="left"/>
        <w:tblInd w:w="0" w:type="dxa"/>
        <w:tblLayout w:type="fixed"/>
        <w:tblCellMar>
          <w:top w:w="28" w:type="dxa"/>
          <w:left w:w="28" w:type="dxa"/>
          <w:bottom w:w="28" w:type="dxa"/>
          <w:right w:w="28" w:type="dxa"/>
        </w:tblCellMar>
      </w:tblPr>
      <w:tblGrid>
        <w:gridCol w:w="1462"/>
        <w:gridCol w:w="1285"/>
        <w:gridCol w:w="1288"/>
        <w:gridCol w:w="217"/>
        <w:gridCol w:w="834"/>
        <w:gridCol w:w="109"/>
        <w:gridCol w:w="109"/>
        <w:gridCol w:w="109"/>
        <w:gridCol w:w="109"/>
        <w:gridCol w:w="217"/>
        <w:gridCol w:w="834"/>
        <w:gridCol w:w="109"/>
        <w:gridCol w:w="109"/>
        <w:gridCol w:w="109"/>
        <w:gridCol w:w="109"/>
        <w:gridCol w:w="217"/>
        <w:gridCol w:w="834"/>
        <w:gridCol w:w="109"/>
        <w:gridCol w:w="109"/>
        <w:gridCol w:w="109"/>
        <w:gridCol w:w="109"/>
        <w:gridCol w:w="217"/>
        <w:gridCol w:w="834"/>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(604,924)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(307,291)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144,494,106 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136,033,746 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142,014,171 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135,863,299 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804" w:type="dxa"/>
        <w:jc w:val="left"/>
        <w:tblInd w:w="0" w:type="dxa"/>
        <w:tblLayout w:type="fixed"/>
        <w:tblCellMar>
          <w:top w:w="28" w:type="dxa"/>
          <w:left w:w="28" w:type="dxa"/>
          <w:bottom w:w="28" w:type="dxa"/>
          <w:right w:w="28" w:type="dxa"/>
        </w:tblCellMar>
      </w:tblPr>
      <w:tblGrid>
        <w:gridCol w:w="1199"/>
        <w:gridCol w:w="1050"/>
        <w:gridCol w:w="1065"/>
        <w:gridCol w:w="196"/>
        <w:gridCol w:w="811"/>
        <w:gridCol w:w="109"/>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(604,924)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(307,291)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gains on investments,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(285,014)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(614,057)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(305,305)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1055"/>
        <w:gridCol w:w="840"/>
        <w:gridCol w:w="846"/>
        <w:gridCol w:w="435"/>
        <w:gridCol w:w="436"/>
        <w:gridCol w:w="171"/>
        <w:gridCol w:w="109"/>
        <w:gridCol w:w="109"/>
        <w:gridCol w:w="109"/>
        <w:gridCol w:w="181"/>
        <w:gridCol w:w="361"/>
        <w:gridCol w:w="109"/>
        <w:gridCol w:w="109"/>
        <w:gridCol w:w="109"/>
        <w:gridCol w:w="109"/>
        <w:gridCol w:w="181"/>
        <w:gridCol w:w="721"/>
        <w:gridCol w:w="109"/>
        <w:gridCol w:w="109"/>
        <w:gridCol w:w="109"/>
        <w:gridCol w:w="109"/>
        <w:gridCol w:w="181"/>
        <w:gridCol w:w="748"/>
        <w:gridCol w:w="109"/>
        <w:gridCol w:w="109"/>
        <w:gridCol w:w="109"/>
        <w:gridCol w:w="109"/>
        <w:gridCol w:w="240"/>
        <w:gridCol w:w="640"/>
        <w:gridCol w:w="147"/>
        <w:gridCol w:w="109"/>
        <w:gridCol w:w="109"/>
        <w:gridCol w:w="109"/>
        <w:gridCol w:w="181"/>
        <w:gridCol w:w="721"/>
        <w:gridCol w:w="158"/>
      </w:tblGrid>
      <w:tr>
        <w:trPr/>
        <w:tc>
          <w:tcPr>
            <w:tcW w:w="10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Other</w:t>
              <w:br/>
              <w:t xml:space="preserve">Comprehensive </w:t>
              <w:br/>
              <w:t>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Total </w:t>
              <w:br/>
              <w:t xml:space="preserve">Stockholders’ </w:t>
              <w:br/>
              <w:t>Equity</w:t>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December 31,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131,058,858 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4,838,736 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(2,154,947)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1,587 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2,685,510 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606,123 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follow-on public offering, net of commissions and offering expenses of $30,654</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12,650,000 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601,846 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37,964 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(8,421)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(320,622)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(320,622)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March 31, 2026</w:t>
            </w:r>
          </w:p>
        </w:tc>
        <w:tc>
          <w:tcPr>
            <w:tcW w:w="10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144,314,981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5,478,270 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(2,475,569)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(6,834)</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2,996,014 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10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470,953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7,760 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7,761 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(284,302)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(284,302)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June 30, 2026</w:t>
            </w:r>
          </w:p>
        </w:tc>
        <w:tc>
          <w:tcPr>
            <w:tcW w:w="104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144,785,934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5,525,211 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(2,759,871)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(7,546)</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2,757,942 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thousands, except share data) </w:t>
      </w:r>
    </w:p>
    <w:p>
      <w:pPr>
        <w:pStyle w:val="TextBody"/>
        <w:bidi w:val="0"/>
        <w:spacing w:lineRule="auto" w:line="288" w:before="20" w:after="283"/>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1119"/>
        <w:gridCol w:w="905"/>
        <w:gridCol w:w="912"/>
        <w:gridCol w:w="279"/>
        <w:gridCol w:w="279"/>
        <w:gridCol w:w="283"/>
        <w:gridCol w:w="109"/>
        <w:gridCol w:w="109"/>
        <w:gridCol w:w="109"/>
        <w:gridCol w:w="181"/>
        <w:gridCol w:w="361"/>
        <w:gridCol w:w="109"/>
        <w:gridCol w:w="109"/>
        <w:gridCol w:w="109"/>
        <w:gridCol w:w="109"/>
        <w:gridCol w:w="181"/>
        <w:gridCol w:w="721"/>
        <w:gridCol w:w="109"/>
        <w:gridCol w:w="109"/>
        <w:gridCol w:w="109"/>
        <w:gridCol w:w="109"/>
        <w:gridCol w:w="181"/>
        <w:gridCol w:w="752"/>
        <w:gridCol w:w="109"/>
        <w:gridCol w:w="109"/>
        <w:gridCol w:w="109"/>
        <w:gridCol w:w="109"/>
        <w:gridCol w:w="241"/>
        <w:gridCol w:w="642"/>
        <w:gridCol w:w="147"/>
        <w:gridCol w:w="109"/>
        <w:gridCol w:w="109"/>
        <w:gridCol w:w="109"/>
        <w:gridCol w:w="181"/>
        <w:gridCol w:w="721"/>
        <w:gridCol w:w="157"/>
      </w:tblGrid>
      <w:tr>
        <w:trPr/>
        <w:tc>
          <w:tcPr>
            <w:tcW w:w="111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Accumulated </w:t>
              <w:br/>
              <w:t xml:space="preserve">Other </w:t>
              <w:br/>
              <w:t xml:space="preserve">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Total </w:t>
              <w:br/>
              <w:t xml:space="preserve">Stockholders’ </w:t>
              <w:br/>
              <w:t xml:space="preserve">Equity </w:t>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December 31, 2024</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124,893,034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4,697,883 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(1,388,319)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(3,873)</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3,305,819 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546,419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from underlying pre-funded warrants in connection with follow-on public offerings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3,499,959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gain</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(140,718)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(140,718)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March 31, 2025</w:t>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128,939,412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4,729,253 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(1,529,037)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(322)</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3,200,026 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in connection with employee incentive plans</w:t>
            </w:r>
          </w:p>
        </w:tc>
        <w:tc>
          <w:tcPr>
            <w:tcW w:w="8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236,375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3,235 </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common stock from underlying pre-funded warrants in connection with follow-on public offering</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640,685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Taxes paid related to the net share settlement of equity awards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Stock-based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36,927 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(1,565)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(166,573)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(166,573)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Balance — June 30, 2025</w:t>
            </w:r>
          </w:p>
        </w:tc>
        <w:tc>
          <w:tcPr>
            <w:tcW w:w="8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129,816,472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4,768,698 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(1,695,610)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(1,887)</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3,071,334 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(in thousands)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023" w:type="dxa"/>
        <w:jc w:val="center"/>
        <w:tblInd w:w="0" w:type="dxa"/>
        <w:tblLayout w:type="fixed"/>
        <w:tblCellMar>
          <w:top w:w="28" w:type="dxa"/>
          <w:left w:w="28" w:type="dxa"/>
          <w:bottom w:w="28" w:type="dxa"/>
          <w:right w:w="28" w:type="dxa"/>
        </w:tblCellMar>
      </w:tblPr>
      <w:tblGrid>
        <w:gridCol w:w="2326"/>
        <w:gridCol w:w="2039"/>
        <w:gridCol w:w="2054"/>
        <w:gridCol w:w="196"/>
        <w:gridCol w:w="811"/>
        <w:gridCol w:w="109"/>
        <w:gridCol w:w="109"/>
        <w:gridCol w:w="109"/>
        <w:gridCol w:w="109"/>
        <w:gridCol w:w="196"/>
        <w:gridCol w:w="811"/>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accretion of discounts on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contract manufacturing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(513,096)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manufacturing facility build-out and equipment construction-in-progress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shares through employee equity incentive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follow-on offering,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the net share settlement of equity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 and cash equivalents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(81,132)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308,063 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308,063 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recorded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VAXCYTE, INC. </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1. Company Organization and Nature of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Vaxcyte, Inc. (“we,” “our,” “us,” “Vaxcyte” and the “Company”) refers to Vaxcyte, Inc., a Delaware corporation, and our wholly-owned consolidated subsidiary, or as the context may require, Vaxcyte, Inc. only. We are headquartered in San Carlos, California, and were incorporated in the state of Delaware on November 27, 2013 as SutroVax, Inc., and changed our name to Vaxcyte, Inc. on May 15, 2020. 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activities since incorporation have been to perform research and development, undertake preclinical and clinical studies and conduct manufacturing activities in support of our product development and commercial readiness efforts; organize and staff our Company; establish our intellectual property portfolio; and raise capital to support and expand such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have been prepared in accordance with accounting principles generally accepted in the United States of America (“U.S. GAAP”) and applicable rules and regulations of the Securities and Exchange Commission (“SEC”) regarding interim financial reporting. Certain information and footnote disclosures normally included in the condensed consolidated financial statements prepared in accordance with U.S. GAAP have been condensed or omitted in accordance with such rules and regulations.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Company and its wholly owned subsidiary. All intercompany transactions and balances have been eliminated upon consolidation.</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Unaudited Interim Condensed Consolidated Financial Statements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sheets as of June 30, 2026, the condensed consolidated statements of operations, comprehensive loss and stockholders’ equity for the three and six months ended June 30, 2026 and 2025 and the condensed consolidated statements of cash flows for the six months ended June 30, 2026 and 2025 are unaudited. The unaudited interim condensed consolidated financial statements have been prepared on the same basis as the audited annual consolidated financial statements and reflect, in the opinion of management, all adjustments of a normal and recurring nature that are necessary for the fair statement of our financial information. The financial data disclosed in the footnotes to the condensed consolidated financial statements related to the three and six months ended June 30, 2026 and 2025 are also unaudited. The results of operations for the three and six months ended June 30, 2026 are not necessarily indicative of the results to be expected for the year ending December 31, 2026 or for any other future annual or interim period. These interim condensed consolidated financial statements should be read in conjunction with our audited consolidated financial statements and related notes thereto for the year ended December 31, 2025 included in our Annual Report on Form 10-K filed with the SEC on February 24, 2026.</w:t>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estimates and assumptions that affect the amounts reported in the condensed consolidated financial statements. On an ongoing basis, we evaluate our estimates and assumptions, including those related to stock-based compensation expense, accruals for certain research and development costs, the valuation of deferred tax assets and income taxes. Management bases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policies as of and for the six months ended June 30, 2026 from our Annual Report on Form 10-K for the fiscal year ended December 31, 2025.</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No. 2024-03, Income Statement—Reporting Comprehensive Income—Expense Disaggregation Disclosures (Subtopic 220-40), (“ASU 2024-03”). The amendments in ASU 2024-03 intend to improve the disclosures about a public business entity’s expenses and address requests from investors for more detailed information about the types of expenses (including purchases of inventory, employee compensation, depreciation, amortization, and depletion). This new guidance is effective for us for the annual periods beginning after December 15, 2026. We are currently evaluating the impact of this guidance on our consolidated financial statements and related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(“ASU 2025-06”). The amendments in ASU 2025-06 intend to modernize the accounting for software costs that are accounted for under Subtopic 350-40, Intangibles—Goodwill and Other—Internal-Use Software (referred to as “internal-use software”). This new guidance is effective for us for the annual periods beginning after December 15, 2027. We are currently evaluating the impact of this guidance on our consolidated financial statements and related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The amendments in ASU 2025-10 intend to establish authoritative guidance on the accounting for government grants received by business entities. This guidance is effective for us beginning with our 2029 fiscal year annual reporting period, with early adoption permitted. We are currently evaluating the impact of this guidance on our consolidated financial statements and related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We are currently evaluating the impact of this guidance on our consolidated financial statements and related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("the Codification") and to make other incremental improvements to U.S. GAAP. The update represents changes to the Codification that (i) clarify, (ii) correct errors, or (iii) make minor improvements. The amendments make the Codification easier to understand and apply. The guidance is effective for fiscal years beginning after December 15, 2026, including interim periods within those fiscal years. We are currently evaluating the impact of this guidance on our consolidated financial statements and related disclosures.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240" w:after="283"/>
        <w:jc w:val="left"/>
        <w:rPr/>
      </w:pPr>
      <w:r>
        <w:r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3. Fair Value Measurements and Fair Value of Financial Instruments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financial instruments measured at fair value on a recurring basis by level within the fair value hierarchy at June 30, 2026 and December 31, 2025: </w:t>
      </w:r>
    </w:p>
    <w:tbl>
      <w:tblPr>
        <w:tblW w:w="10205" w:type="dxa"/>
        <w:jc w:val="left"/>
        <w:tblInd w:w="0" w:type="dxa"/>
        <w:tblLayout w:type="fixed"/>
        <w:tblCellMar>
          <w:top w:w="28" w:type="dxa"/>
          <w:left w:w="28" w:type="dxa"/>
          <w:bottom w:w="28" w:type="dxa"/>
          <w:right w:w="28" w:type="dxa"/>
        </w:tblCellMar>
      </w:tblPr>
      <w:tblGrid>
        <w:gridCol w:w="882"/>
        <w:gridCol w:w="757"/>
        <w:gridCol w:w="765"/>
        <w:gridCol w:w="421"/>
        <w:gridCol w:w="421"/>
        <w:gridCol w:w="423"/>
        <w:gridCol w:w="109"/>
        <w:gridCol w:w="109"/>
        <w:gridCol w:w="109"/>
        <w:gridCol w:w="196"/>
        <w:gridCol w:w="871"/>
        <w:gridCol w:w="109"/>
        <w:gridCol w:w="109"/>
        <w:gridCol w:w="109"/>
        <w:gridCol w:w="109"/>
        <w:gridCol w:w="368"/>
        <w:gridCol w:w="791"/>
        <w:gridCol w:w="206"/>
        <w:gridCol w:w="109"/>
        <w:gridCol w:w="109"/>
        <w:gridCol w:w="109"/>
        <w:gridCol w:w="305"/>
        <w:gridCol w:w="984"/>
        <w:gridCol w:w="169"/>
        <w:gridCol w:w="109"/>
        <w:gridCol w:w="109"/>
        <w:gridCol w:w="109"/>
        <w:gridCol w:w="196"/>
        <w:gridCol w:w="871"/>
        <w:gridCol w:w="162"/>
      </w:tblGrid>
      <w:tr>
        <w:trPr/>
        <w:tc>
          <w:tcPr>
            <w:tcW w:w="88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Value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Hierarchy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Amortized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Unrealized Losses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Value</w:t>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9"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183,190 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759,691 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debt </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1,143,645 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2,324,544 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2,515,343 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(8,031)</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2,507,734 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2"/>
        <w:gridCol w:w="759"/>
        <w:gridCol w:w="768"/>
        <w:gridCol w:w="422"/>
        <w:gridCol w:w="422"/>
        <w:gridCol w:w="424"/>
        <w:gridCol w:w="109"/>
        <w:gridCol w:w="109"/>
        <w:gridCol w:w="109"/>
        <w:gridCol w:w="196"/>
        <w:gridCol w:w="871"/>
        <w:gridCol w:w="109"/>
        <w:gridCol w:w="109"/>
        <w:gridCol w:w="109"/>
        <w:gridCol w:w="109"/>
        <w:gridCol w:w="310"/>
        <w:gridCol w:w="884"/>
        <w:gridCol w:w="174"/>
        <w:gridCol w:w="109"/>
        <w:gridCol w:w="109"/>
        <w:gridCol w:w="109"/>
        <w:gridCol w:w="386"/>
        <w:gridCol w:w="859"/>
        <w:gridCol w:w="216"/>
        <w:gridCol w:w="109"/>
        <w:gridCol w:w="109"/>
        <w:gridCol w:w="109"/>
        <w:gridCol w:w="196"/>
        <w:gridCol w:w="871"/>
        <w:gridCol w:w="158"/>
      </w:tblGrid>
      <w:tr>
        <w:trPr/>
        <w:tc>
          <w:tcPr>
            <w:tcW w:w="87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Value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Amortized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Gross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Fair </w:t>
            </w:r>
          </w:p>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Value</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173,959 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debt </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900,396 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backed securities</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220,115 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2,263,417 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2,268,664 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2,437,381 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2,442,623 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had no Level 3 securities either as of June 30, 2026 or 2025.</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within the hierarchies during the six months ended June 30, 2026.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investments with a total fair market value of $1.8 billion and $0.3 billion, respectively, in an unrealized loss position, of which $426.9 million and $120.2 million, respectively, were in a continuous unrealized loss position for more than 12 months. As of June 30, 2026, the gross unrealized losses of securities that have been in a continuous unrealized loss position was $8.0 million, of which $7.4 million related to securities that have been in a continuous unrealized loss position for less than 12 months. As of December 31, 2025, the gross unrealized losses of securities that have been in a continuous unrealized loss position was not material.</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related to our investments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investments during the three and six months ended June 30, 2026 or 2025.</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our investments as of June 30, 2026 (in thousands):</w:t>
      </w:r>
    </w:p>
    <w:tbl>
      <w:tblPr>
        <w:tblW w:w="3126" w:type="dxa"/>
        <w:jc w:val="left"/>
        <w:tblInd w:w="0" w:type="dxa"/>
        <w:tblLayout w:type="fixed"/>
        <w:tblCellMar>
          <w:top w:w="28" w:type="dxa"/>
          <w:left w:w="28" w:type="dxa"/>
          <w:bottom w:w="28" w:type="dxa"/>
          <w:right w:w="28" w:type="dxa"/>
        </w:tblCellMar>
      </w:tblPr>
      <w:tblGrid>
        <w:gridCol w:w="688"/>
        <w:gridCol w:w="606"/>
        <w:gridCol w:w="611"/>
        <w:gridCol w:w="196"/>
        <w:gridCol w:w="87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less than one year</w:t>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1,303,648 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to five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2,324,544 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4. Commercial Manufacturing and Supply Agreements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Lonza Ltd. (“Lonza”)</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we entered into a pre-commercial services and commercial manufacturing supply agreement with Lonza (the “Lonza Commercial Manufacturing and Supply Agreement”). </w:t>
      </w:r>
    </w:p>
    <w:p>
      <w:pPr>
        <w:pStyle w:val="TextBody"/>
        <w:bidi w:val="0"/>
        <w:spacing w:before="240" w:after="283"/>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Lonza Commercial Manufacturing and Supply Agreement, Lonza constructed and built out a dedicated suite (the “Suite”) at Lonza’s facilities in Visp, Switzerland to manufacture certain key components (including drug substance) for our proprietary pneumococcal conjugate vaccine (“PCV”) franchise and any other products or intermediates we may choose (collectively, the “Products”). Following completion of construction and certification of the Suite for commercial operation, the Suite was handed over to the Lonza operations team on August 1, 2026, and Lonza will now maintain and operate the Suite (utilizing Lonza’s employees) to manufacture the Products as a service provided to us, including conducting related quality control and quality assurance operations. Lonza is a preferred, non-exclusive, supplier of the Products to us, and we retain the right to procure the Products from one or more alternate and/or backup manufacturers of the Products (including at our own facilities).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Lonza Commercial Manufacturing and Supply Agreement, prior to completion of construction and certification of the Suite for commercial operation, we contributed to the capital expenditure costs to construct the Suite (and own certain equipment in the Suite that was purchased or otherwise acquired by us), and paid Lonza a fixed-rate monthly service fee for Lonza’s pre-commercial services prior to commencement of commercial operations. We will now pay Lonza (i) Suite fees based on allocations of certain of Lonza’s costs to maintain the facility in which the Suite is located and to provide shared services to us and Lonza’s other customers in such facility, (ii) service fees based upon Lonza’s actual full-time equivalent employee (“FTE”) costs to operate the Suite to manufacture the Products, and (iii) equipment expenditures and certain other pass-through costs, including for raw materials. In addition, we may be obligated to pay or reimburse Lonza for certain other fees and expenses under the Lonza Commercial Manufacturing and Supply Agreement. Lonza will be eligible for certain financial bonuses, and subject to certain financial penalties, as incentives for the timely completion of certain scale-up activities, receipt of certain regulatory approvals for the Suite and manufacture of the Products in accordance with our commercial requirements.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Lonza Commercial Manufacturing and Supply Agreement will remain in effect until December 31, 2038, subject to automatic renewal for up to three additional renewal periods of five years each, unless we elect not to renew (with 24 months advanced notice to Lonza). We are permitted to terminate the Lonza Commercial Manufacturing and Supply Agreement for convenience or for Lonza’s uncured material breach, in each case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certain notice obligations. Lonza is permitted to terminate the Lonza Commercial Manufacturing and Supply Agreement in the event that we commit certain specified material breaches, including uncured failure to pay material and undisputed amounts of money due to Lonza, subject to certain notice obligations. Either party may terminate the Commercial Manufacturing and Supply Agreement in certain circumstances in the event of the other party’s bankruptcy. In the event that we terminate the agreement for convenience, or Lonza terminates the agreement in the event that we commit certain specified material breaches, then certain termination consequences may be triggered, including that (i) we would forfeit any outstanding entitlement to credit from Lonza of the Repurposing Fee (as defined below), and (ii) we would be obligated to pay Lonza a termination penalty equal to the greater of (a) CHF 70.0 million, or (b) a prespecified number of months’ FTE fees for the actual FTEs assigned to us as of the date of termination. Within 30 days of the Effective Date, we paid Lonza a repurposing fee (the “Repurposing Fee”) of CHF 27.0 million that will be credited back to us over a 10-year period starting upon commencement of commercial production. In the event of a termination under certain circumstances, Lonza shall be obligated to provide certain wind-down and transition services to us for up to 12 months and 24 months,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we have incurred $219.8 million and $196.3 million of capital expenditures related to the Vaxcyte owned facility buildout and equipment, respectively. In addition, as of June 30, 2026 and 2025, we have incurred $190.7 million and $94.3 million of facility buildout expenditures that are owned and controlled by Lonza, including the Repurposing Fee, and costs associated with certification of the Suite for commercial operation, respectively. These amounts have been accounted for as prepaid lease payments as of June 30, 2026. As of August 1, 2026, the amounts that have been accounted for as prepaid lease payments will be recognized as a ROU asset under Accounting Standards Codification ("ASC") 842 lease accounting. We are currently in the process of calculating the ROU asset and corresponding lease liability in accordance with ASC 842.</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Thermo Fisher Scientific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entered into a master services agreement with Patheon Manufacturing Services LLC, part of Thermo Fisher Scientific (collectively, “Thermo Fisher”), pursuant to which Thermo Fisher will formulate, fill, inspect, package, label, test, manufacture and supply drug product for us at its facility in Greenville, North Carolina (the "Thermo Fisher Commercial Manufacturing and Supply Agreement"). Pursuant to the Thermo Fisher Commercial Manufacturing and Supply Agreement, we have agreed to order drug product from Thermo Fisher based on certain binding forecast periods and established prices. In addition, we will also pay Thermo Fisher for technology transfer activities and reimburse Thermo Fisher for certain out-of-pocket capital expenditures under the terms of the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Thermo Fisher Commercial Manufacturing and Supply Agreement has an initial term of 15 years and will automatically renew for additional three-year periods unless either party provides notice of non-renewal before the end of the then existing term, subject to completion of ongoing services. We are permitted to terminate the Thermo Fisher Commercial Manufacturing and Supply Agreement prior to expiration, subject to the payment of applicable termination fees, plus certain capital expenditure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Operating Lease Obligations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Office Facility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2021, we entered into a lease agreement (the “Original Lease”) for our current corporate headquarters facility located in San Carlos, California (the “Headquarters Facility”). The lease term began on December 3, 2021, as amended on October 17, 2023, and was set to expire on December 31, 2025.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we entered into an assignment and assumption of lease agreement (the “Assignment Agreement”) for an expanded lease space in the same building as our Headquarters Facility (the “Assumed Lease Premises”). The assumed lease had an original contractual term of 10 years, set to expire on November 30, 2031. Pursuant to the Assignment Agreement, the base rent was abated for three full calendar months following the October 1, 2023 effective date of the Assignment Agreement. Thereafter, we were obligated to pay an aggregate of approximately $1.9 million in rent payments for the remaining nine months of the first year, with a 3% rent adjustment (not inclusive of rent abatement) every year thereafter.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we amended and restated the Original Lease (the “Amended and Restated Lease”) as a single, unified lease for our Headquarters Facility which includes the existing space under the Original Lease and the Assumed Lease Premises (collectively, the “Existing Premises”) and expanded space covering additional floors (the “Additional Premises”), which resulted in a lease modification in accordance with ASC 842. The Amended and Restated Lease has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initial contractual term of 10 years, contains rent-free periods, scheduled rent increases, lease incentives and the option of two consecutive rights to extend the term for 60 months each. The effective date of the Amended and Restated Lease was November 15, 2024 which, for the purposes of lease accounting, is the commencement date of the lease of the Existing Premises. The commencement dates of the Additional Premises occur when certain leasehold improvements and specifications are substantially complete, the first, second and third of which occurred in February 2025, November 2025 and December 2025, respectively, and the last of which is estimated to occur in the second half of 2026. Our Amended and Restated Lease expires on February 28, 2035.</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In November 2024, we entered into a sublease agreement, for which we are the sublessor, for a portion of our Existing Premises. This sublease has a contractual term of two years, expiring on December 31, 2026, unless earlier terminated, with two conditional options to extend the term of the sublease for a period of 12 months each. The commencement date of this sublease was December 12, 2024.</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2024, we entered into a sublease agreement, for which we were the sublessee for a new operating lease in the same campus as our corporate headquarters. This sublease included rent-free periods, scheduled rent increases, and had a contractual term of two years. The sublease ended on June 30,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Manufacturing Facility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2023, we entered into the Lonza Commercial Manufacturing and Supply Agreement. We have concluded that this agreement contains an embedded lease and will be accounted for in accordance with ASC 842 upon the commencement date. As of June 30, 2026, the lease had not commenced and, as such, no lease liability or ROU asset was recorded on the condensed consolidated balance sheets and no operating lease expense was recorded on the condensed consolidated statements of operations. See Note 4, “Commercial Manufacturing and Supply Agreement”, for further details.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additional information for our operating leases:</w:t>
      </w:r>
    </w:p>
    <w:tbl>
      <w:tblPr>
        <w:tblW w:w="6315" w:type="dxa"/>
        <w:jc w:val="left"/>
        <w:tblInd w:w="0" w:type="dxa"/>
        <w:tblLayout w:type="fixed"/>
        <w:tblCellMar>
          <w:top w:w="28" w:type="dxa"/>
          <w:left w:w="28" w:type="dxa"/>
          <w:bottom w:w="28" w:type="dxa"/>
          <w:right w:w="28" w:type="dxa"/>
        </w:tblCellMar>
      </w:tblPr>
      <w:tblGrid>
        <w:gridCol w:w="1310"/>
        <w:gridCol w:w="1150"/>
        <w:gridCol w:w="1155"/>
        <w:gridCol w:w="188"/>
        <w:gridCol w:w="188"/>
        <w:gridCol w:w="407"/>
        <w:gridCol w:w="109"/>
        <w:gridCol w:w="109"/>
        <w:gridCol w:w="109"/>
        <w:gridCol w:w="333"/>
        <w:gridCol w:w="333"/>
        <w:gridCol w:w="92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7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320" w:type="dxa"/>
        <w:jc w:val="left"/>
        <w:tblInd w:w="0" w:type="dxa"/>
        <w:tblLayout w:type="fixed"/>
        <w:tblCellMar>
          <w:top w:w="28" w:type="dxa"/>
          <w:left w:w="28" w:type="dxa"/>
          <w:bottom w:w="28" w:type="dxa"/>
          <w:right w:w="28" w:type="dxa"/>
        </w:tblCellMar>
      </w:tblPr>
      <w:tblGrid>
        <w:gridCol w:w="1033"/>
        <w:gridCol w:w="905"/>
        <w:gridCol w:w="91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June 30, 2026 were as follows: </w:t>
      </w:r>
    </w:p>
    <w:tbl>
      <w:tblPr>
        <w:tblW w:w="4365" w:type="dxa"/>
        <w:jc w:val="left"/>
        <w:tblInd w:w="0" w:type="dxa"/>
        <w:tblLayout w:type="fixed"/>
        <w:tblCellMar>
          <w:top w:w="28" w:type="dxa"/>
          <w:left w:w="28" w:type="dxa"/>
          <w:bottom w:w="28" w:type="dxa"/>
          <w:right w:w="28" w:type="dxa"/>
        </w:tblCellMar>
      </w:tblPr>
      <w:tblGrid>
        <w:gridCol w:w="1103"/>
        <w:gridCol w:w="969"/>
        <w:gridCol w:w="973"/>
        <w:gridCol w:w="238"/>
        <w:gridCol w:w="895"/>
        <w:gridCol w:w="187"/>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Years ending December 31,</w:t>
            </w:r>
          </w:p>
        </w:tc>
        <w:tc>
          <w:tcPr>
            <w:tcW w:w="1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(in thousands) </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5,978 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82,805 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undiscounted lease payments</w:t>
            </w:r>
          </w:p>
        </w:tc>
        <w:tc>
          <w:tcPr>
            <w:tcW w:w="11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158,164 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(42,719)</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115,445 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Rent expense recognized under the leases was $5.4 million and $3.9 million for the three months ended June 30, 2026 and 2025, respectively, and $10.9 million and $7.5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6. Commitments and Contingencies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Legal Contingencies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do not believe that there is any litigation or asserted or unasserted claim pending that could, individually or in the aggregate, have a material adverse effect on our results of operations or financial condition.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Guarantees and Indemnifications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enter into agreements that contain a variety of representations and provide for general indemnification. Our exposure under these agreements is unknown because it involves claims that may be made against us in the future. To date, we have not paid any claims or been required to defend any action related to our indemnification obligations. As of June 30, 2026, we did not have any material indemnification claims that were probable or reasonably possible and consequently have not recorded related liabilities.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permitted under Delaware law, we have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directors and officers insurance coverage that reduces our exposure and enables us to recover a portion of any future amounts paid. We have not incurred any material costs as a result of such indemnification and are not currently aware of any indemnification claims.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Development and Manufacturing Services Agreements with Lonza</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entered into a non-exclusive development and manufacturing services agreement with Lonza effective as of March 22, 2022, which was subsequently amended in May 2022, November 2022 and October 2023 (as amended, the “2022 Lonza DMSA”). Pursuant to the 2022 Lonza DMSA, Lonza is obligated to perform services including manufacturing process development and clinical manufacture and supply of our proprietary PCV candidates.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entered into another non-exclusive development and manufacturing services agreement with Lonza effective as of March 1, 2023 (the “2023 Lonza DMSA”). Pursuant to the 2023 Lonza DMSA, Lonza will perform manufacturing process development and the manufacture of components for our PCV candidates, including the polysaccharide antigens, our proprietary eCRM protein carrier and conjugated drug substances.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each of the 2022 Lonza DMSA and 2023 Lonza DMSA (collectively, the “Lonza Agreements”), we pay Lonza agreed-upon fees for their performance of development and manufacturing services and pass-through expenses incurred by Lonza for raw materials, as well as customary procurement and handling fees.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another non-exclusive development and manufacturing services agreement with Lonza effective as of January 1, 2026 (the "2026 Lonza DMSA"). Pursuant to the 2026 Lonza DMSA, Lonza will perform manufacturing process development and commercial manufacture and supply of certain key components for our propriety PCV franchise.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2026 Lonza DMSA, we will pay Lonza for development and manufacturing services, in addition to paying for certain raw material and other costs. We will be required to purchase, and Lonza will be required to supply, the components pursuant to the relevant purchase orders under the agreement. In consideration of the commercial supply services and Lonza’s other obligations under the agreement, we will pay Lonza a daily fee for Lonza’s operation of the facility solely to actively manufacture the components. With respect to such commercial supply, and subject to termination rights, we and Lonza have agreed to a mutually binding percentage of annual facility capacity that shall be utilized by Lonza fully and exclusively for Lonza’s performance of services thereunder, which percentages may be adjusted under certain circumstances.</w:t>
      </w:r>
    </w:p>
    <w:p>
      <w:pPr>
        <w:pStyle w:val="TextBody"/>
        <w:bidi w:val="0"/>
        <w:spacing w:lineRule="auto" w:line="268" w:before="240" w:after="283"/>
        <w:jc w:val="left"/>
        <w:rPr/>
      </w:pPr>
      <w:r>
        <w:rPr>
          <w:rFonts w:ascii="Times New Roman;serif" w:hAnsi="Times New Roman;serif"/>
          <w:b w:val="false"/>
          <w:color w:val="000000"/>
          <w:sz w:val="20"/>
        </w:rPr>
        <w:t>For additional information about the Lonza Agreements, see “</w:t>
      </w:r>
      <w:r>
        <w:rPr>
          <w:rFonts w:ascii="Times New Roman;serif" w:hAnsi="Times New Roman;serif"/>
          <w:b w:val="false"/>
          <w:i/>
          <w:color w:val="000000"/>
          <w:sz w:val="20"/>
        </w:rPr>
        <w:t>Certain Significant Relationships</w:t>
      </w:r>
      <w:r>
        <w:rPr>
          <w:color w:val="000000"/>
        </w:rPr>
        <w:t>—</w:t>
      </w:r>
      <w:r>
        <w:rPr>
          <w:rFonts w:ascii="Times New Roman;serif" w:hAnsi="Times New Roman;serif"/>
          <w:b w:val="false"/>
          <w:i/>
          <w:color w:val="000000"/>
          <w:sz w:val="20"/>
        </w:rPr>
        <w:t>Lonza</w:t>
      </w:r>
      <w:r>
        <w:rPr>
          <w:color w:val="000000"/>
        </w:rPr>
        <w:t>—</w:t>
      </w:r>
      <w:r>
        <w:rPr>
          <w:rFonts w:ascii="Times New Roman;serif" w:hAnsi="Times New Roman;serif"/>
          <w:b w:val="false"/>
          <w:color w:val="000000"/>
          <w:sz w:val="20"/>
        </w:rPr>
        <w:t>Development and Manufacturing Services Agreements” included in Part I, Item 2. Management’s Discussion and Analysis of Financial Condition and Results of Operations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Commercial Manufacturing and Supply Agreements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For details of the Commercial Manufacturing and Supply Agreements with Lonza and Thermo Fisher, see Note 4.</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Sutro Option Agreement </w:t>
      </w:r>
    </w:p>
    <w:p>
      <w:pPr>
        <w:pStyle w:val="TextBody"/>
        <w:bidi w:val="0"/>
        <w:spacing w:lineRule="auto" w:line="276" w:before="240" w:after="283"/>
        <w:jc w:val="left"/>
        <w:rPr/>
      </w:pPr>
      <w:r>
        <w:rPr>
          <w:rFonts w:ascii="Times New Roman;serif" w:hAnsi="Times New Roman;serif"/>
          <w:b w:val="false"/>
          <w:color w:val="000000"/>
          <w:sz w:val="20"/>
        </w:rPr>
        <w:t xml:space="preserve">In December 2022, we entered into an option agreement with Sutro Biopharma (the “Option Agreement”). Pursuant to the Option Agreement, we acquired from Sutro Biopharma (i) authorization to enter into an agreement with an independent alternate CMO to directly source Sutro Biopharma’s cell-free extract, allowing us to have direct oversight over financial and operational aspects of the relationship with the CMO; and (ii) </w:t>
      </w:r>
      <w:r>
        <w:rPr>
          <w:rFonts w:ascii="Times New Roman;serif" w:hAnsi="Times New Roman;serif"/>
          <w:b w:val="false"/>
          <w:color w:val="000000"/>
          <w:sz w:val="20"/>
          <w:shd w:fill="FFFFFF" w:val="clear"/>
        </w:rPr>
        <w:t xml:space="preserve">a right, but not an obligation, to obtain certain exclusive rights to internally manufacture and/or source extract from certain CMOs and the right to independently develop and make improvements to extract (including the right to make improvements to the extract manufacturing process as well as cell lines) for use in connection with the exploitation of certain vaccine compositions </w:t>
      </w:r>
      <w:r>
        <w:rPr>
          <w:rFonts w:ascii="Times New Roman;serif" w:hAnsi="Times New Roman;serif"/>
          <w:b w:val="false"/>
          <w:color w:val="000000"/>
          <w:sz w:val="20"/>
        </w:rPr>
        <w:t xml:space="preserve">(the “Option”). We and Sutro Biopharma agreed to negotiate the terms and conditions of a form definitive agreement to be entered into in the event we exercised the Option, which would include the terms and conditions set forth in an executed term sheet between us (the “Term Sheet”) and such terms that were necessary to give effect to each of the terms and conditions set forth in the Term Sheet (the “Form Definitive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As consideration for the Option and other rights and authorizations granted to us under the Option Agreement, we paid Sutro Biopharma upfront consideration of $22.5 million, consisting of (i) $10.0 million in cash and $7.5 million worth of shares of our common stock (the number of shares calculated based on the arithmetic average of the daily volume weighted average price of our common stock as traded on Nasdaq in the three consecutive trading days immediately prior to the issuance thereof) in December 2022, and (ii) $5.0 million in October 2023 within five business days after we and Sutro Biopharma mutually agreed in writing upon the Form Definitive Agreement on September 28, 2023. The 167,780 shares of common stock issued was recorded at fair value of $8.0 million on the date of settlement, December 22, 2022.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(the “Option Exercise Date”), we exercised the Option by submitting written notice thereof to Sutro Biopharma and concurrently paid Sutro Biopharma $50.0 million in cash as the first of two installment payments for the Option exercise price, followed by the second and final installment of $25.0 million in cash in May 2024. We determined there was no current alternative future use of the acquired manufacturing rights from the Option Agreement and, as a result, the amounts paid were expensed as incurred. Upon the occurrence of certain regulatory milestones, we agreed to pay Sutro Biopharma certain additional milestone payments totaling up to $60.0 million in cash. In the event that we undergo a change of control, certain rights and payments may be accelerated. No milestone payments were made during the three months ended June 30, 2026.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Manufacturing Rights Agreement with Sutro Biopharma</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payment of the first installment of the Option exercise price pursuant to the Option Agreement, in November 2023, the manufacturing rights agreement (in the form of the Form Definitive Agreement) between us and Sutro Biopharma (the “Manufacturing Rights Agreement”) became effective. Pursuant to the Manufacturing Rights Agreement, we obtained exclusive rights to independently, or through certain third parties, develop, improve and manufacture cell-free extract for use in connection with our vaccine candidates. </w:t>
      </w:r>
    </w:p>
    <w:p>
      <w:pPr>
        <w:pStyle w:val="TextBody"/>
        <w:bidi w:val="0"/>
        <w:spacing w:lineRule="auto" w:line="268" w:before="240" w:after="283"/>
        <w:jc w:val="left"/>
        <w:rPr/>
      </w:pPr>
      <w:r>
        <w:rPr>
          <w:rFonts w:ascii="Times New Roman;serif" w:hAnsi="Times New Roman;serif"/>
          <w:b w:val="false"/>
          <w:color w:val="000000"/>
          <w:sz w:val="20"/>
        </w:rPr>
        <w:t>For additional information about the Manufacturing Rights Agreement, see “</w:t>
      </w:r>
      <w:r>
        <w:rPr>
          <w:rFonts w:ascii="Times New Roman;serif" w:hAnsi="Times New Roman;serif"/>
          <w:b w:val="false"/>
          <w:i/>
          <w:color w:val="000000"/>
          <w:sz w:val="20"/>
        </w:rPr>
        <w:t>Certain Significant Relationships</w:t>
      </w:r>
      <w:r>
        <w:rPr>
          <w:color w:val="000000"/>
        </w:rPr>
        <w:t>—</w:t>
      </w:r>
      <w:r>
        <w:rPr>
          <w:rFonts w:ascii="Times New Roman;serif" w:hAnsi="Times New Roman;serif"/>
          <w:b w:val="false"/>
          <w:i/>
          <w:color w:val="000000"/>
          <w:sz w:val="20"/>
        </w:rPr>
        <w:t>Sutro Biopharma</w:t>
      </w:r>
      <w:r>
        <w:rPr>
          <w:color w:val="000000"/>
        </w:rPr>
        <w:t>—</w:t>
      </w:r>
      <w:r>
        <w:rPr>
          <w:rFonts w:ascii="Times New Roman;serif" w:hAnsi="Times New Roman;serif"/>
          <w:b w:val="false"/>
          <w:color w:val="000000"/>
          <w:sz w:val="20"/>
        </w:rPr>
        <w:t>Manufacturing Rights Agreement with Sutro Biopharma” included in Part I, Item 2. Management’s Discussion and Analysis of Financial Condition and Results of Operations of this Quarterly Report on Form 10-Q.</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Purchase Commitments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 into agreements in the normal course of business with CMOs and other vendors for manufacturing services and raw materials purchases. We rely on several third-party manufacturers for our manufacturing requirements. As of June 30, 2026, we had the following amounts of non-cancelable purchase commitments related to manufacturing services and raw materials purchased due to our key manufacturing partners. These amounts represent our minimum contractual obligations, including termination fees. If we terminate certain firm orders with key manufacturing partners, we will be required to pay for the manufacturing services scheduled or raw materials purchased under our arrangements. The actual amounts we pay in the future to our vendors under such agreements may differ from the purchase order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tbl>
      <w:tblPr>
        <w:tblW w:w="7259" w:type="dxa"/>
        <w:jc w:val="left"/>
        <w:tblInd w:w="0" w:type="dxa"/>
        <w:tblLayout w:type="fixed"/>
        <w:tblCellMar>
          <w:top w:w="28" w:type="dxa"/>
          <w:left w:w="28" w:type="dxa"/>
          <w:bottom w:w="28" w:type="dxa"/>
          <w:right w:w="28" w:type="dxa"/>
        </w:tblCellMar>
      </w:tblPr>
      <w:tblGrid>
        <w:gridCol w:w="2168"/>
        <w:gridCol w:w="1906"/>
        <w:gridCol w:w="1911"/>
        <w:gridCol w:w="230"/>
        <w:gridCol w:w="864"/>
        <w:gridCol w:w="180"/>
      </w:tblGrid>
      <w:tr>
        <w:trPr/>
        <w:tc>
          <w:tcPr>
            <w:tcW w:w="216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Years ending December 31,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394,161 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241,410 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non-cancelable purchase commitments due to our key manufacturing partners</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670,189 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7. Stockholders' Equity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authorizes us to issue up to 500,000,000 shares of common stock with $0.001 par value per share, of which 144,785,934 and 131,058,858 shares were issued and outstanding as of June 30, 2026 and December 31, 2025, respectively. The holders of our common stock are also entitled to receive dividends whenever funds are legally available, when and if declared by our Board. As of June 30, 2026 and 2025, no dividends have been declared.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In July 2021, we entered into an Open Market Sales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(the “Original ATM Sales Agreement”) with Jefferies LLC (“Jefferies”) to issue and sell, from time to time at our discretion, shares of our common stock at an aggregate offering price up to $150.0 million through Jefferies acting as our sales agent or principal. As of February 27, 2023, we had sold 4,995,709 shares of our common stock under the Original ATM Sales Agreement at a weighted average price of $27.57 per share for aggregate gross proceeds of $137.8 million. On February 27, 2023, we and Jefferies entered into an amendment to the Original ATM Sales Agreement (as amended, the “Amended ATM Sales Agreement”) to offer and sell additional shares of our common stock with an aggregate offering price up to another $400.0 million, which was in addition to the $150.0 million aggregate offering price under the Original ATM Sales Agreement. Effective as of February 24, 2026, we terminated the Amended ATM Sales Agreement. Prior to termination, we sold 4,211,367 shares of our common stock under the Amended ATM Sales Agreement at a weighted average price of $64.19 per share for aggregate gross proceeds of $270.3 million, or $264.2 million net of commissions and offering expenses. The gross proceeds of the shares sold net of commission and related offering expenses are reflected as an addition to common stock and additional paid-in capital on our condensed consolidated balance sheets.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2026, we entered into a Sales Agreement (the "2026 ATM Sales Agreement") with Leerink Partners LLC ("Leerink Partners"), to issue and sell, from time to time at our discretion, shares of our common stock at an aggregate offering price up to $500.0 million through Leerink Partners as our sales agent. As of June 30, 2026, we have not sold any shares of our common stock under the 2026 ATM Sales Agreement.</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Underwritten Follow-on Public Offerings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From January 2022 through September 2024, we successfully completed a number of underwritten public offerings, which included pre-funded warrants to purchase a total of 10,458,434 shares of our common stock. The pre-funded warrants are exercisable, at the option of each holder, in whole or in part by delivering to us a duly executed exercise notice and payment of the exercise price. Each pre-funded warrant has an exercise price of $0.001 per share. No fractional shares of common stock will be issued in connection with the exercise of a pre-funded warrant. The holders of the pre-funded warrants may also satisfy their obligation to pay the exercise price through a “cashless exercise,” in which the holder receives the net value of the pre-funded warrant in shares of common stock determined according to the formula set forth in the pre-funded warrant.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not expire until they are fully exercised. However, we may not effect the exercise of any pre-funded warrants, and a holder will not be entitled to exercise any portion of any pre-funded warrants that, upon giving effect to such exercise, would cause: (i) the aggregate number of shares of our common stock beneficially owned by such holder (together with affiliates) to exceed 4.99% or 9.99% of the number of shares of our common stock outstanding immediately after giving effect to the exercise, as applicable; or (ii) the combined voting power of our securities beneficially owned by such holder (together with its affiliates) to exceed 4.99% or 9.99% of the combined voting power of all of our securities outstanding immediately after giving effect to the exercise, as applicable, as such percentage ownership is determined in accordance with the terms of the pre-funded warrants. However, any holder of a pre-funded warrant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or decrease such percentage to any other percentage not in excess of 19.99% upon at least 61 days' prior notice for the holder to us.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640,705 and 4,140,705 shares underlying the pre-funded warrants were exercised, respectively, to receive 640,685 and 4,140,644 shares of common stock, respectively, net of exercise costs. No shares underlying the pre-funded warrants were exercised during the three and six months ended June 30, 2026. As of both June 30, 2026 and December 31, 2025, a total of 5,463,793 shares underlying pre-funded warrants were outstanding.</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completed an underwritten public offering of 12,650,000 shares of our common stock, which included the full exercise of the underwriters' option to purchase an additional 1,650,000 shares, at a price of $50.00 per share. In aggregate, we received $601.8 million in net proceeds after deducting underwriting discounts, commissions and other offering expenses payable by us.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2026, a total of 3,946,094 shares underlying the pre-funded warrants from various underwritten public offerings were exercised to receive 3,946,020 shares of common stock, net of exercise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8. Equity Incentive Plans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grant stock options and restricted stock units (“RSUs”) under the 2020 Equity Incentive Plan (“2020 Plan”), which became effective in June 2020 and replaced our 2014 Equity Incentive Plan (“2014 Plan”).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Effective January 1, 2026, the number of shares of common stock available under the 2020 Plan increased by 6,552,942 shares pursuant to the evergreen provision of the 2020 Plan. As of June 30, 2026, an aggregate of 13,407,465 shares of common stock were available for issuance under the 2020 Plan.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2014 Plan permitted the granting of incentive stock options, non-statutory stock options, restricted stock and other stock-based awards. Subsequent to the adoption of the 2020 Plan, no additional equity awards can be made under the 2014 Plan. As of June 30, 2026, 767,073 shares and 14,363,735 shares of common stock were subject to outstanding options and RSUs under the 2014 Plan and 2020 Plan, respectively.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Stock Option Activity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activity under our 2020 Plan, including performance contingent stock options (“PCSOs”), and 2014 Plan, was as follows: </w:t>
      </w:r>
    </w:p>
    <w:tbl>
      <w:tblPr>
        <w:tblW w:w="10205" w:type="dxa"/>
        <w:jc w:val="left"/>
        <w:tblInd w:w="0" w:type="dxa"/>
        <w:tblLayout w:type="fixed"/>
        <w:tblCellMar>
          <w:top w:w="28" w:type="dxa"/>
          <w:left w:w="28" w:type="dxa"/>
          <w:bottom w:w="28" w:type="dxa"/>
          <w:right w:w="28" w:type="dxa"/>
        </w:tblCellMar>
      </w:tblPr>
      <w:tblGrid>
        <w:gridCol w:w="557"/>
        <w:gridCol w:w="491"/>
        <w:gridCol w:w="492"/>
        <w:gridCol w:w="109"/>
        <w:gridCol w:w="109"/>
        <w:gridCol w:w="109"/>
        <w:gridCol w:w="338"/>
        <w:gridCol w:w="338"/>
        <w:gridCol w:w="218"/>
        <w:gridCol w:w="109"/>
        <w:gridCol w:w="109"/>
        <w:gridCol w:w="109"/>
        <w:gridCol w:w="166"/>
        <w:gridCol w:w="406"/>
        <w:gridCol w:w="109"/>
        <w:gridCol w:w="109"/>
        <w:gridCol w:w="109"/>
        <w:gridCol w:w="109"/>
        <w:gridCol w:w="249"/>
        <w:gridCol w:w="249"/>
        <w:gridCol w:w="250"/>
        <w:gridCol w:w="109"/>
        <w:gridCol w:w="109"/>
        <w:gridCol w:w="109"/>
        <w:gridCol w:w="166"/>
        <w:gridCol w:w="526"/>
        <w:gridCol w:w="109"/>
        <w:gridCol w:w="109"/>
        <w:gridCol w:w="109"/>
        <w:gridCol w:w="109"/>
        <w:gridCol w:w="263"/>
        <w:gridCol w:w="263"/>
        <w:gridCol w:w="181"/>
        <w:gridCol w:w="109"/>
        <w:gridCol w:w="109"/>
        <w:gridCol w:w="109"/>
        <w:gridCol w:w="166"/>
        <w:gridCol w:w="466"/>
        <w:gridCol w:w="109"/>
        <w:gridCol w:w="109"/>
        <w:gridCol w:w="109"/>
        <w:gridCol w:w="109"/>
        <w:gridCol w:w="249"/>
        <w:gridCol w:w="249"/>
        <w:gridCol w:w="250"/>
        <w:gridCol w:w="109"/>
        <w:gridCol w:w="109"/>
        <w:gridCol w:w="109"/>
        <w:gridCol w:w="166"/>
        <w:gridCol w:w="406"/>
        <w:gridCol w:w="157"/>
      </w:tblGrid>
      <w:tr>
        <w:trPr/>
        <w:tc>
          <w:tcPr>
            <w:tcW w:w="5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PCSOs Outstanding</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 except share and per share data)</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Weighted-</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Average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Exercise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Price Per</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Remaining</w:t>
              <w:br/>
              <w:t xml:space="preserve">Contractual </w:t>
              <w:br/>
              <w:t>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Aggregate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Intrinsic</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Weighted-</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Average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Exercise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Price Per</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Remaining</w:t>
              <w:br/>
              <w:t xml:space="preserve">Contractual </w:t>
              <w:br/>
              <w:t>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Aggregate</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Intrinsic</w:t>
            </w:r>
          </w:p>
          <w:p>
            <w:pPr>
              <w:pStyle w:val="TableContents"/>
              <w:bidi w:val="0"/>
              <w:spacing w:lineRule="auto" w:line="288" w:before="0" w:after="0"/>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Value</w:t>
            </w:r>
          </w:p>
        </w:tc>
      </w:tr>
      <w:tr>
        <w:trPr/>
        <w:tc>
          <w:tcPr>
            <w:tcW w:w="15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Balances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10,960,801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621,860 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1,230,866 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(596,986)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Options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(96,860)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Balances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11,497,821 </w:t>
            </w:r>
          </w:p>
        </w:tc>
        <w:tc>
          <w:tcPr>
            <w:tcW w:w="2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613,610 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Vested and expected to vest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11,497,821 </w:t>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613,610 </w:t>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7,336,648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options to purchase 230,733 and 109,148 shares, respectively, were exercised for cash at a weighted-average price per share of $20.42 and $9.09, respectively. The intrinsic value of the stock options exercised was $8.2 million and $2.4 million for the three months ended June 30, 2026 and 2025, respectively. The weighted-average grant date fair value of options granted for the three months ended June 30, 2026 and 2025 was $30.32 and $20.75,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options to purchase 596,986 and 549,602 shares, respectively, were exercised for cash at a weighted-average price per share of $23.23 and $13.00, respectively. The intrinsic value of the stock options exercised was $18.8 million and $33.3 million for the six months ended June 30, 2026 and 2025,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of options granted for the six months ended June 30, 2026 and 2025 was $34.57 and $37.66, respectively.</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Stock Unit Award Activity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unit award activity, including performance based stock units (“PSUs”), for the six months ended June 30, 2026 was as follows: </w:t>
      </w:r>
    </w:p>
    <w:tbl>
      <w:tblPr>
        <w:tblW w:w="10205"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49"/>
        <w:gridCol w:w="212"/>
        <w:gridCol w:w="214"/>
        <w:gridCol w:w="109"/>
        <w:gridCol w:w="109"/>
        <w:gridCol w:w="109"/>
        <w:gridCol w:w="198"/>
        <w:gridCol w:w="486"/>
        <w:gridCol w:w="132"/>
        <w:gridCol w:w="109"/>
        <w:gridCol w:w="109"/>
        <w:gridCol w:w="109"/>
        <w:gridCol w:w="335"/>
        <w:gridCol w:w="335"/>
        <w:gridCol w:w="336"/>
        <w:gridCol w:w="109"/>
        <w:gridCol w:w="109"/>
        <w:gridCol w:w="109"/>
        <w:gridCol w:w="166"/>
        <w:gridCol w:w="526"/>
        <w:gridCol w:w="109"/>
        <w:gridCol w:w="109"/>
        <w:gridCol w:w="109"/>
        <w:gridCol w:w="109"/>
        <w:gridCol w:w="346"/>
        <w:gridCol w:w="212"/>
        <w:gridCol w:w="214"/>
        <w:gridCol w:w="109"/>
        <w:gridCol w:w="109"/>
        <w:gridCol w:w="109"/>
        <w:gridCol w:w="186"/>
        <w:gridCol w:w="523"/>
        <w:gridCol w:w="122"/>
        <w:gridCol w:w="109"/>
        <w:gridCol w:w="109"/>
        <w:gridCol w:w="109"/>
        <w:gridCol w:w="335"/>
        <w:gridCol w:w="335"/>
        <w:gridCol w:w="336"/>
        <w:gridCol w:w="109"/>
        <w:gridCol w:w="109"/>
        <w:gridCol w:w="109"/>
        <w:gridCol w:w="166"/>
        <w:gridCol w:w="466"/>
        <w:gridCol w:w="16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Unvested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Unvested PSUs</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4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 except share and per share data)</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Grant-Date</w:t>
              <w:br/>
              <w:t>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 Remaining Contractual 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Aggregate</w:t>
              <w:br/>
              <w:t>Intrinsic</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w:t>
              <w:br/>
              <w:t>Grant-Date</w:t>
              <w:br/>
              <w:t>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w:t>
              <w:br/>
              <w:t>Average Remaining Contractual 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Aggregate</w:t>
              <w:br/>
              <w:t>Intrinsic</w:t>
              <w:br/>
              <w:t>Value</w:t>
            </w:r>
          </w:p>
        </w:tc>
      </w:tr>
      <w:tr>
        <w:trPr/>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2,340,589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54.55 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107,995 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175,513 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151.48 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8,098 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1,106,892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51.30 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(62,086)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54.51 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Unvested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2,843,864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151.48 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of RSUs granted during the three months ended June 30, 2026 and 2025 was $47.57 and $36.77, respectively. The weighted-average grant date fair value of RSUs granted during the six months ended June 30, 2026 and 2025 was $57.79 and $62.16, respectively. The aggregate intrinsic value of unvested RSUs is calculated using the closing price of our common stock on the grant date.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Shares Available for Grant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our 2020 Plan for the six months ended June 30, 2026 were as follows:</w:t>
      </w:r>
    </w:p>
    <w:tbl>
      <w:tblPr>
        <w:tblW w:w="4349"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73"/>
        <w:gridCol w:w="473"/>
        <w:gridCol w:w="647"/>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Number of Shares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8,821,691</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6,552,942</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 and RSUs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(2,337,758)</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167,196</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203,394</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13,407,465</w:t>
            </w:r>
          </w:p>
        </w:tc>
      </w:tr>
    </w:tbl>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2020 Employee Stock Purchase Plan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January 1, 2026, the number of shares of common stock available under the 2020 Employee Stock Purchase Plan (the "2020 ESPP") increased by 1,310,588 shares pursuant to the evergreen provision of the 2020 ESPP. During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months ended June 30, 2026 and 2025, 112,315 shares and 83,221 shares were purchased, respectively, under the 2020 ESPP. As of June 30, 2026, there were 3,217,631 shares available under the 2020 ESPP.</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assumptions were used in the Black-Scholes options pricing model for stock options granted in the respective period of:</w:t>
      </w:r>
    </w:p>
    <w:tbl>
      <w:tblPr>
        <w:tblW w:w="8049" w:type="dxa"/>
        <w:jc w:val="left"/>
        <w:tblInd w:w="0" w:type="dxa"/>
        <w:tblLayout w:type="fixed"/>
        <w:tblCellMar>
          <w:top w:w="28" w:type="dxa"/>
          <w:left w:w="28" w:type="dxa"/>
          <w:bottom w:w="28" w:type="dxa"/>
          <w:right w:w="28" w:type="dxa"/>
        </w:tblCellMar>
      </w:tblPr>
      <w:tblGrid>
        <w:gridCol w:w="667"/>
        <w:gridCol w:w="588"/>
        <w:gridCol w:w="590"/>
        <w:gridCol w:w="395"/>
        <w:gridCol w:w="395"/>
        <w:gridCol w:w="395"/>
        <w:gridCol w:w="195"/>
        <w:gridCol w:w="195"/>
        <w:gridCol w:w="195"/>
        <w:gridCol w:w="395"/>
        <w:gridCol w:w="395"/>
        <w:gridCol w:w="395"/>
        <w:gridCol w:w="109"/>
        <w:gridCol w:w="109"/>
        <w:gridCol w:w="109"/>
        <w:gridCol w:w="421"/>
        <w:gridCol w:w="421"/>
        <w:gridCol w:w="343"/>
        <w:gridCol w:w="169"/>
        <w:gridCol w:w="169"/>
        <w:gridCol w:w="169"/>
        <w:gridCol w:w="388"/>
        <w:gridCol w:w="388"/>
        <w:gridCol w:w="4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64.1% - 65.4%</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65.2% - 65.5%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64.1% - 66.6%</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65.2% - 67.5%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5.4 - 5.5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5.4 - 5.5</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5.2 - 5.3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 - 4.3%</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 - 4.2%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 - 4.3%</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 - 4.5%</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total stock-based compensation expense for the three and six months ended June 30, 2026 and 2025 related to the 2014 Plan, the 2020 Plan and the 2020 ESPP in the condensed consolidated statements of operations and allocated the amounts as follows: </w:t>
      </w:r>
    </w:p>
    <w:tbl>
      <w:tblPr>
        <w:tblW w:w="7829" w:type="dxa"/>
        <w:jc w:val="left"/>
        <w:tblInd w:w="0" w:type="dxa"/>
        <w:tblLayout w:type="fixed"/>
        <w:tblCellMar>
          <w:top w:w="28" w:type="dxa"/>
          <w:left w:w="28" w:type="dxa"/>
          <w:bottom w:w="28" w:type="dxa"/>
          <w:right w:w="28" w:type="dxa"/>
        </w:tblCellMar>
      </w:tblPr>
      <w:tblGrid>
        <w:gridCol w:w="1086"/>
        <w:gridCol w:w="955"/>
        <w:gridCol w:w="958"/>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$324.6 million of unrecognized stock-based compensation expense related to unvested employee and non-employee awards, which is expected to be recognized over a weighted-average period of 2.59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9. Funding Arrangements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VAX-A1, a novel conjugate vaccine candidate designed to prevent disease caused by Group A Streptococcus, has been funded in part by a grant obtained from Combating Antibiotic Resistant Bacteria Biopharmaceutical Accelerator (“CARB-X”), a global non-profit partnership dedicated to accelerating antibacterial innovation to tackle the rising global threat of drug-resistant bacteria. The CARB-X grant provided funding of $11.7 million upon the achievement of VAX-A1 development milestones through June 2024. As of the second quarter of 2024, all of these milestones had been successfully achieved, and no further amounts will be funded under this CARB-X grant.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VAX-GI, a novel preclinical vaccine candidate being developed as a preventative treatment for dysentery and shigellosis, which is caused by Shigella bacteria, is currently funded in part by two grants obtained from the National Institutes of Health (“NIH”) administered by the University of Maryland, Baltimore. Our first grant from the NIH was awarded in April 2021 and provides for potential funding up to five years totaling approximately $0.5 million. In June 2023, we received another grant from the NIH that provides for potential funding up to five years totaling approximately $4.6 million. As of June 30, 2026, we have received and expect to continue to receive funding under each of these grants.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working on a discovery program with the University of North Carolina at Chapel Hill and the University of Chicago to develop a vaccine candidate for the prevention of Chlamydia, which is funded in part by a grant from the National Institute of Allergy and Infectious Diseases that provides potential funding up to five years totaling approximately $9.5 million. As of June 30, 2026, we have received and expect to continue to receive funding under this grant.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grants is recognized in the period during which the related specified expenses are incurred, provided that the conditions under which the grants were provided have been met. The amount of grant income was not material during the three and six months ended June 30, 2026 and June 30, 2025. The grant receivable related to unreimbursed, eligible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incurred under the agreements recorded within prepaid expenses and other current assets in the condensed consolidated balance sheets was not material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10. Net Loss Per Share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and excludes shares which are outstanding, but subject to repurchase by us:</w:t>
      </w:r>
    </w:p>
    <w:tbl>
      <w:tblPr>
        <w:tblW w:w="10205" w:type="dxa"/>
        <w:jc w:val="left"/>
        <w:tblInd w:w="0" w:type="dxa"/>
        <w:tblLayout w:type="fixed"/>
        <w:tblCellMar>
          <w:top w:w="28" w:type="dxa"/>
          <w:left w:w="28" w:type="dxa"/>
          <w:bottom w:w="28" w:type="dxa"/>
          <w:right w:w="28" w:type="dxa"/>
        </w:tblCellMar>
      </w:tblPr>
      <w:tblGrid>
        <w:gridCol w:w="1788"/>
        <w:gridCol w:w="1546"/>
        <w:gridCol w:w="1469"/>
        <w:gridCol w:w="196"/>
        <w:gridCol w:w="788"/>
        <w:gridCol w:w="109"/>
        <w:gridCol w:w="109"/>
        <w:gridCol w:w="109"/>
        <w:gridCol w:w="109"/>
        <w:gridCol w:w="196"/>
        <w:gridCol w:w="788"/>
        <w:gridCol w:w="109"/>
        <w:gridCol w:w="109"/>
        <w:gridCol w:w="109"/>
        <w:gridCol w:w="109"/>
        <w:gridCol w:w="196"/>
        <w:gridCol w:w="788"/>
        <w:gridCol w:w="109"/>
        <w:gridCol w:w="109"/>
        <w:gridCol w:w="109"/>
        <w:gridCol w:w="109"/>
        <w:gridCol w:w="196"/>
        <w:gridCol w:w="788"/>
        <w:gridCol w:w="158"/>
      </w:tblGrid>
      <w:tr>
        <w:trPr/>
        <w:tc>
          <w:tcPr>
            <w:tcW w:w="178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 thousands)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(604,924)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(307,291)</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shares outstanding used in computing net loss per share, basic and diluted </w:t>
            </w:r>
            <w:r>
              <w:rPr>
                <w:rFonts w:ascii="Times New Roman;serif" w:hAnsi="Times New Roman;serif"/>
                <w:b w:val="false"/>
                <w:color w:val="000000"/>
                <w:sz w:val="12"/>
              </w:rPr>
              <w:t>(1)</w:t>
            </w:r>
          </w:p>
        </w:tc>
        <w:tc>
          <w:tcPr>
            <w:tcW w:w="10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144,494,106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136,033,746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142,014,171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135,863,299</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76" w:before="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shares of common stock into which pre-funded warrants may be exercised as of June 30, 2026. See Note 7,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were excluded from the computation of diluted net loss per share for the period presented because including them would have been antidilutive: </w:t>
      </w:r>
    </w:p>
    <w:tbl>
      <w:tblPr>
        <w:tblW w:w="5678" w:type="dxa"/>
        <w:jc w:val="left"/>
        <w:tblInd w:w="0" w:type="dxa"/>
        <w:tblLayout w:type="fixed"/>
        <w:tblCellMar>
          <w:top w:w="28" w:type="dxa"/>
          <w:left w:w="28" w:type="dxa"/>
          <w:bottom w:w="28" w:type="dxa"/>
          <w:right w:w="28" w:type="dxa"/>
        </w:tblCellMar>
      </w:tblPr>
      <w:tblGrid>
        <w:gridCol w:w="1235"/>
        <w:gridCol w:w="1078"/>
        <w:gridCol w:w="1092"/>
        <w:gridCol w:w="304"/>
        <w:gridCol w:w="304"/>
        <w:gridCol w:w="308"/>
        <w:gridCol w:w="132"/>
        <w:gridCol w:w="132"/>
        <w:gridCol w:w="132"/>
        <w:gridCol w:w="280"/>
        <w:gridCol w:w="280"/>
        <w:gridCol w:w="401"/>
      </w:tblGrid>
      <w:tr>
        <w:trPr/>
        <w:tc>
          <w:tcPr>
            <w:tcW w:w="123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12,111,431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11,116,512</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3,019,377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2,139,814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275,396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potentially dilutive securities outstanding</w:t>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15,406,204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13,256,326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11. Income Taxes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quarterly provisions for income taxes, we use the annual estimated effective tax rate applied to the actual year-to-date profit or loss, adjusted for discrete items arising in that period. Our annual estimated effective tax rate differs from the U.S. federal statutory rate primarily as a result of changes in our valuation allowance against our deferred tax assets. During the three and six months ended June 30, 2026 and 2025, we incurred net pre-tax losses in the jurisdictions we operate in and had no income tax provisions. During the three and six months ended June 30, 2026, there were no material changes to our unrecognized tax benefits, and we do not expect to have any significant changes to unrecognized tax benefits through the end of the fiscal year. We do not have any tax audits or other issues pending.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operate and manage our business as one reportable and operating segment. Our chief executive officer, who is the chief operating decision maker, reviews financial information on an aggregate basis for purposes of allocating resources and evaluating financial performance based on consolidated net loss, as is reported in our condensed consolidated statements of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long-lived assets are based in the United States and Switzerland. Long-lived assets are comprised of property and equipment. As of June 30, 2026 and December 31, 2025, property and equipment based in the United States was $40.1 million and $39.7 million, respectively. As of June 30, 2026 and December 31, 2025, property and equipment based in Switzerland was $220.2 million and $217.7 million, respectively.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This following table presents segment operation results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tbl>
      <w:tblPr>
        <w:tblW w:w="8504" w:type="dxa"/>
        <w:jc w:val="left"/>
        <w:tblInd w:w="0" w:type="dxa"/>
        <w:tblLayout w:type="fixed"/>
        <w:tblCellMar>
          <w:top w:w="28" w:type="dxa"/>
          <w:left w:w="28" w:type="dxa"/>
          <w:bottom w:w="28" w:type="dxa"/>
          <w:right w:w="28" w:type="dxa"/>
        </w:tblCellMar>
      </w:tblPr>
      <w:tblGrid>
        <w:gridCol w:w="1200"/>
        <w:gridCol w:w="1056"/>
        <w:gridCol w:w="105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Research and development - external costs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Research and development - internal costs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407,012 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284,302 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(1)Research and development - external costs consist primarily of product and clinical development, research, facility, depreciation, professional and consulting services expenses attributed to the research and development departments.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(2)Research and development - internal costs consist of internal employee costs including stock-based compensation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related notes and other financial information included elsewhere in this Quarterly Report on Form 10-Q and our audited consolidated financial statements and notes thereto for the year ended December 31, 2025 filed with the Securities and Exchange Commission (“SEC”) on February 24, 2026. This discussion and analysis contain forward-looking statements based upon our current beliefs,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Quarterly Report on Form 10-Q. You should carefully read the “Risk Factors” section of this Quarterly Report on Form 10-Q to gain an understanding of the important factors that could cause actual results to differ materially from our forward-looking statements. Please also see the section titled “Special Note Regarding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pipeline includes:</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 xml:space="preserve">PCV candidates that we believe are among the broadest-spectrum PCV candidates currently in development, targeting the approximately $8 billion global pneumococcal vaccine market. Pneumococcal disease ("PD") is an infection caused by </w:t>
      </w:r>
      <w:r>
        <w:rPr>
          <w:rFonts w:ascii="Times New Roman;serif" w:hAnsi="Times New Roman;serif"/>
          <w:b w:val="false"/>
          <w:i/>
          <w:color w:val="000000"/>
          <w:sz w:val="20"/>
        </w:rPr>
        <w:t xml:space="preserve">Streptococcus pneumoniae </w:t>
      </w:r>
      <w:r>
        <w:rPr>
          <w:rFonts w:ascii="Times New Roman;serif" w:hAnsi="Times New Roman;serif"/>
          <w:b w:val="false"/>
          <w:color w:val="000000"/>
          <w:sz w:val="20"/>
        </w:rPr>
        <w:t xml:space="preserve">bacteria. It can result in invasive pneumococcal disease (“IPD”), including meningitis and bacteremia, and non-invasive PD, including pneumonia, otitis media and sinusitis. Our broad-spectrum, carrier-sparing PCV candidates, VAX-31, VAX-24 and VAX-XL, are designed to improve upon standard-of-care PCVs for both adults and children by covering the serotypes that are responsible for increasing portions of IPD in circulation and are associated with high case-fatality rates, antibiotic resistance and meningitis, while maintaining coverage of previously circulating strains that are currently contained through continued vaccination. </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PCV Franchise Adult Indication:</w:t>
      </w:r>
    </w:p>
    <w:p>
      <w:pPr>
        <w:pStyle w:val="TextBody"/>
        <w:bidi w:val="0"/>
        <w:spacing w:lineRule="auto" w:line="268" w:before="240" w:after="240"/>
        <w:ind w:left="0" w:right="0" w:hanging="360"/>
        <w:jc w:val="left"/>
        <w:rPr/>
      </w:pPr>
      <w:r>
        <w:rPr>
          <w:color w:val="000000"/>
        </w:rPr>
        <w:t>▪</w:t>
      </w:r>
      <w:r>
        <w:rPr>
          <w:rFonts w:ascii="Times New Roman;serif" w:hAnsi="Times New Roman;serif"/>
          <w:b w:val="false"/>
          <w:color w:val="000000"/>
          <w:sz w:val="20"/>
        </w:rPr>
        <w:t>VAX-31 is a 31-valent, broad-spectrum, carrier-sparing investigational PCV being developed for the prevention of IPD and pneumonia. VAX-31 is the broadest-spectrum PCV in the clinic, and has the potential to provide protection against both currently circulating and historically prevalent serotypes. VAX-31 was designed to increase coverage, in a single vaccine, to approximately 95% of IPD and approximately 88% of pneumococcal pneumonia circulating in adults in the United States aged 50 and older, with the potential to provide an incremental 13-36% broader coverage for IPD and an incremental 19-31% broader coverage for pneumococcal pneumonia over current standard-of-care adult PCVs.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September 2024, we announced positive topline results from a Phase 1/2 study of VAX-31 in adults. The VAX-31 Phase 1/2 clinical study was a randomized, observer-blind, active-controlled, dose-finding clinical study designed to evaluate the safety, tolerability and immunogenicity of a single injection of VAX-31 at three dose levels (Low, Middle and High) and compared to Prevnar 20</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("PCV20") in 1,015 healthy adults aged 50 and older. In the Low, Middle and High Doses, all serotypes were dosed at 1.1mcg, 2.2mcg and 3.3mcg, respectively, except serotypes 1, 5 and 22F, which were dosed at 1.65mcg, 3.3mcg, and 4.4mcg, respectively. The Phase 1 portion of the study included 64 healthy adults 50 to 64 years of age and the Phase 2 portion included 951 healthy adults 50 years of age and older. The immunogenicity objectives of the study included an assessment of the induction of antibody responses at Month 1, based on opsonophagocytic activity (“OPA”) and immunoglobulin G ("IgG"), at each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three VAX-31 doses and compared to PCV20 for the 20 serotypes in common, as well as for the additional 11 serotypes contained in VAX-31, but not in PCV20.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Phase 1/2 study, VAX-31 was observed to be well tolerated and demonstrated a safety profile at all doses studied through the full six-month evaluation period similar to PCV20. VAX-31 showed robust OPA immune responses for all 31 serotypes at all doses studied. At the Middle and High Doses, VAX-31 met or exceeded the regulatory immunogenicity criteria for all 31 serotypes and, at the Low Dose, for 29 of 31 serotypes. At the VAX-31 High Dose, average OPA immune responses were greater for 18 of 20 serotypes compared to PCV20 (geometric mean ratio (“GMR”) greater than 1.0), with seven of these serotypes achieving statistically higher immune responses compared to PCV20. At the Middle Dose, 13 of 20 serotypes had a GMR greater than 1.0 and five serotypes achieved statistically higher immune responses compared to PCV20. At the Low Dose, 18 of 20 serotypes met the OPA response non-inferiority criteria, 8 of 20 serotypes had a GMR greater than 1.0 and three serotypes achieved statistically higher immune responses. For all 11 incremental serotypes unique to VAX-31, and not in PCV20, all three doses met the superiority criteria.</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these positive results, we selected the High Dose of VAX-31 to advance to an adult Phase 3 program.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In November 2024, we announced that the U.S. Food and Drug Administration ("FDA") granted breakthrough therapy designation ("BTD") for VAX-31 for the prevention of IPD in adults and, in August 2025, we announced that the FDA expanded the BTD for VAX-31 to include the prevention of pneumonia caused by </w:t>
      </w:r>
      <w:r>
        <w:rPr>
          <w:rFonts w:ascii="Times New Roman;serif" w:hAnsi="Times New Roman;serif"/>
          <w:b w:val="false"/>
          <w:i/>
          <w:color w:val="000000"/>
          <w:sz w:val="20"/>
        </w:rPr>
        <w:t>Streptococcus pneumoniae</w:t>
      </w:r>
      <w:r>
        <w:rPr>
          <w:rFonts w:ascii="Times New Roman;serif" w:hAnsi="Times New Roman;serif"/>
          <w:b w:val="false"/>
          <w:color w:val="000000"/>
          <w:sz w:val="20"/>
        </w:rPr>
        <w:t>.</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December 2025, following an FDA End-of-Phase 2 meeting, we announced that the first participants were dosed in a Phase 3 pivotal, non-inferiority trial ("OPUS-1") evaluating the safety, tolerability and immune responses of VAX-31 in healthy, pneumococcal-naïve (defined as having no known prior history of IPD or pneumococcal pneumonia, or receipt of any licensed or investigational pneumococcal vaccine) adults aged 50 and older through direct, head-to-head comparisons with both PVC20 and PCV21, the current standard-of-care PCVs. In March 2026, we announced that we completed enrollment of this trial. We expect to announce topline safety, tolerability and immunogenicity data from this study in the fourth quarter of 2026.</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January 2026, we announced the initiation of an additional Phase 3 trial evaluating VAX-31 when administered concomitantly with a licensed, high-dose seasonal influenza vaccine in pneumococcal-naïve adults aged 50 years and older (“OPUS-2”). In February 2026, we announced the initiation of a separate Phase 3 study evaluating VAX-31 in adults previously vaccinated with a lower-valency pneumococcal vaccine (“OPUS-3”). In March 2026, we announced we completed enrollment of the OPUS-2 trial and in May 2026, we announced we completed enrollment of the OPUS-3 trial. We expect to report safety, tolerability and immunogenicity data from the OPUS-2 and OPUS-3 studies in the first half of 2027. We are also planning for a manufacturing consistency study (e.g., a lot-to-lot study) as the final Phase 3 study to enable the submission of the Biologics License Application (BLA).</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PCV Franchise Pediatric Indication:</w:t>
      </w:r>
    </w:p>
    <w:p>
      <w:pPr>
        <w:pStyle w:val="TextBody"/>
        <w:bidi w:val="0"/>
        <w:spacing w:lineRule="auto" w:line="268" w:before="240" w:after="240"/>
        <w:ind w:left="0" w:right="0" w:hanging="360"/>
        <w:jc w:val="left"/>
        <w:rPr/>
      </w:pPr>
      <w:r>
        <w:rPr>
          <w:color w:val="000000"/>
        </w:rPr>
        <w:t>▪</w:t>
      </w:r>
      <w:r>
        <w:rPr>
          <w:rFonts w:ascii="Times New Roman;serif" w:hAnsi="Times New Roman;serif"/>
          <w:b w:val="false"/>
          <w:color w:val="000000"/>
          <w:sz w:val="20"/>
        </w:rPr>
        <w:t xml:space="preserve">VAX-31 is a 31-valent, broad-spectrum, carrier-sparing investigational PCV also being developed for the prevention of IPD in children. VAX-31 is the broadest-spectrum PCV in the clinic designed to cover approximately 91% of IPD in U.S. children under five years of age and approximately 96% of otitis media due to </w:t>
      </w:r>
      <w:r>
        <w:rPr>
          <w:rFonts w:ascii="Times New Roman;serif" w:hAnsi="Times New Roman;serif"/>
          <w:b w:val="false"/>
          <w:i/>
          <w:color w:val="000000"/>
          <w:sz w:val="20"/>
        </w:rPr>
        <w:t>Streptococcus pneumoniae</w:t>
      </w:r>
      <w:r>
        <w:rPr>
          <w:color w:val="000000"/>
        </w:rPr>
        <w:t xml:space="preserve"> </w:t>
      </w:r>
      <w:r>
        <w:rPr>
          <w:rFonts w:ascii="Times New Roman;serif" w:hAnsi="Times New Roman;serif"/>
          <w:b w:val="false"/>
          <w:color w:val="000000"/>
          <w:sz w:val="20"/>
        </w:rPr>
        <w:t xml:space="preserve">in U.S. children five years of age or under.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In December 2024, we announced that the first participants were dosed in the first stage of a Phase 2, randomized, dose-finding study of VAX-31 in infants. Stage 1 of the study evaluated the safety and tolerability of VAX-31 at three dose levels (Low, Middle and High) and compared to PCV20 in 48 infants in a dose-escalation approach. In the Low, Middle and High Doses, all serotypes were dosed at 1.1mcg, 2.2mcg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3.3mcg, respectively, except serotypes 1, 5 and 22F, which were dosed at 1.65mcg, 3.3mcg, and 4.4mcg, respectively. Participants who received VAX-31 in Stage 1 continued the standard dosing regimen as part of Stage 2.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February 2025, we announced that the Phase 2, randomized, dose-finding study of VAX-31 in healthy infants had advanced to the second stage of the study. Stage 2 of the study is evaluating the safety, tolerability and immunogenicity of VAX-31 at the same three dose levels evaluated in Stage 1 and compared to PCV20. In line with recommendations from the ACIP, the study design includes a primary immunization series consisting of three doses given at two months, four months and six months of age, followed by a subsequent booster dose at 12-15 months of age.</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September 2025, we announced advancement of the VAX-31 infant Phase 2 randomized, dose-finding study to the third and final stage following modifications to the protocol to add a new dose arm to evaluate a VAX-31 Optimized Dose (majority of serotypes dosed at 4.4mcg and the balance dosed at 3.3mcg) and discontinue further enrollment in the Low Dose arm. The Middle and High Dose arms continued as planned.</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The modified study is evaluating the safety, tolerability and immunogenicity of VAX-31 and compared to PCV20 in 900 participants, including the 100 participants previously enrolled in the Low Dose arm.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January 2026, we announced that we completed enrollment of this study. We expect to announce topline safety, tolerability and immunogenicity data from the primary three-dose immunization series and booster dose either sequentially or together by the end of the first half of 2027.</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Pending the VAX-31 Phase 2 infant study readout, we plan to initiate a Phase 3 program in infants with an Optimized Dose formulation of VAX-24 or VAX-31.</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VAX-24 is a 24-valent, broad-spectrum, carrier-sparing investigational PCV being developed for the prevention of IPD in infants, and it covers more serotypes than any pneumococcal infant vaccine on the market today.</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In March 2025, we announced positive topline, interim data from the VAX-24 infant Phase 2 study, a randomized, observer-blind, dose-finding two-stage clinical study evaluating the safety, tolerability and immunogenicity of VAX-24 in healthy infants that enrolled 803 participants.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In November 2025, we announced final safety, tolerability, and immunogenicity results from the VAX-24 infant Phase 2 study that were consistent with the positive interim data reported in March 2025 and showed that VAX-24 elicited robust, dose-dependent immune responses, with little to no evidence of carrier suppression observed. The final data analysis included full 6-month safety results and complete post-dose 3 (primary immunization series) and post-dose 4 (booster dose) IgG and OPA results. The key immunogenicity endpoints included an assessment of immune responses for each of the VAX-24 dose levels (Low, Mid, Mixed) compared to PCV20 for the 20 common and 4 unique serotypes in VAX-24. At 1-month post-dose 3 and post-dose 4, immune responses were assessed based on serotype-specific IgG seroconversion rates (IgG threshold value of ≥0.35mcg/mL). IgG GMRs were also assessed at 1-month post-dose 3 and post-dose 4, along with other key immunogenicity endpoints, including OPA.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this study, VAX-24 was well-tolerated and demonstrated a safety profile similar to PCV20 across all doses studied. Post-dose 3 and post-dose 4, all VAX-24 doses evaluated demonstrated robust IgG and OPA immunogenicity responses.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Post-dose 3, all VAX-24 doses met target precedent Phase 2 non-inferiority criteria on relative seroconversion rates (lower limit of the 95% confidence interval for the difference between the proportion of participants achieving the pre-defined seroconversion rate (IgG concentration ≥0.35 mcg/mL) is &gt; -15% for each serotype) for the highest circulating serotypes, as defined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percentage of IPD caused in individuals &lt;5 yrs of age in the U.S. in 2023 based on the U.S. Center for Disease Control ("CDC") active bacterial core ("ABC") surveillance data, contained in VAX-24. The Low and Mid doses met the seroconversion rate criteria for 20 of 24 serotypes overall and the Mixed Dose met such criteria for 19 of 24 serotypes. The Mid and Mixed Doses met the target Phase 2 IgG GMR point estimate of &gt;0.6 for 21 of 24 serotypes.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Post-dose 4, all VAX-24 doses met our target Phase 2 IgG GMR point estimate of &gt;0.6 for the three highest circulating serotypes contained in VAX-24. The Mixed Dose met this target for 19 of 24 serotypes overall and the Mid dose met this target for 18 of 24 serotypes. Post-dose 4, VAX-24 elicited robust memory responses across all doses for all serotypes.</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Additionally, the four incremental serotypes unique to VAX-24 that provide expanded serotype coverage relative to PCV20 elicited robust immune responses and met all target criteria across all endpoints at all doses evaluated.</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The final data from the VAX-24 infant Phase 2 dose-finding study further supported our rationale for exploring higher doses in the ongoing VAX-31 infant Phase 2 study.</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VAX-XL is a third-generation PCV candidate designed to provide the broadest coverage of any PCV currently in development.</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VAX-A1, a novel conjugate vaccine candidate designed to prevent disease caused by Group A Streptococcus (</w:t>
      </w:r>
      <w:r>
        <w:rPr>
          <w:rFonts w:ascii="Times New Roman;serif" w:hAnsi="Times New Roman;serif"/>
          <w:b w:val="false"/>
          <w:i/>
          <w:color w:val="000000"/>
          <w:sz w:val="20"/>
        </w:rPr>
        <w:t>Streptococcus pyogenes</w:t>
      </w:r>
      <w:r>
        <w:rPr>
          <w:rFonts w:ascii="Times New Roman;serif" w:hAnsi="Times New Roman;serif"/>
          <w:b w:val="false"/>
          <w:color w:val="000000"/>
          <w:sz w:val="20"/>
        </w:rPr>
        <w:t>) (“Group A Strep”). Group A Strep is pervasive globally and causes an estimated 800 million cases of illness annually, including pharyngitis, or strep throat, and certain severe invasive infections and sequelae. There is currently no vaccine against Group A Strep, which is one of the leading infectious disease-related causes of death and disability worldwide and a significant contributor to the prescription of antibiotics in children. We believe we have demonstrated preclinical proof of concept for VAX-A1, the data for which were published in December 2020. In June 2026, we initiated a Phase 1 adult study for VAX-A1, with the primary objective of assessing safety and tolerability, along with a secondary objective of evaluating initial immunogenicity data, to support potential further advancement. We expect to report topline data from this study in the second half of 2027.</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VAX-GI, a novel preclinical vaccine candidate being developed as a preventative treatment for dysentery and shigellosis, which is caused by Shigella bacteria. Shigella is a bacterial illness estimated to cause 80 million to 165 million cases of disease and 600,000 deaths annually, mostly among children. The central antigen in VAX-GI is IpaB, a well-appreciated antigen that other developers have been unable to produce in an amount sufficient to enable a commercial product. With our cell-free technology, we believe we can produce this antigen at substantially improved yields, allowing for commercial-scale production. VAX-GI is being developed in collaboration with the University of Maryland, Baltimore as well as with partial funding from two research grants awarded by the National Institutes of Health (“NIH”). As part of our continued focus on strategic capital deployment and in order to prioritize our resources towards our PCV franchise, we announced in August 2025 that we had paused the advancement, beyond preclinical development, of VAX-GI while remaining confident in its potential and preserving the option to advance the program in the future. </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 xml:space="preserve">Other discovery-stage programs that leverage our cell-free protein synthesis platform, which, if proven successful in preclinical studies, could also be advanced into IND-enabling activities and clinical studies.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Since March 31, 2026, key developments affecting our business include the following:</w:t>
      </w:r>
    </w:p>
    <w:p>
      <w:pPr>
        <w:pStyle w:val="TextBody"/>
        <w:bidi w:val="0"/>
        <w:spacing w:lineRule="auto" w:line="268" w:before="240" w:after="283"/>
        <w:ind w:left="0" w:right="0" w:hanging="360"/>
        <w:jc w:val="left"/>
        <w:rPr/>
      </w:pPr>
      <w:r>
        <w:rPr>
          <w:color w:val="000000"/>
        </w:rPr>
        <w:t>•</w:t>
      </w:r>
      <w:r>
        <w:rPr>
          <w:rFonts w:ascii="Times New Roman;serif" w:hAnsi="Times New Roman;serif"/>
          <w:b/>
          <w:i/>
          <w:color w:val="000000"/>
          <w:sz w:val="20"/>
        </w:rPr>
        <w:t>Advanced VAX-31 Adult Phase 3 Program</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All three ongoing VAX-31 Phase 3 clinical trials (OPUS-1, OPUS-2 and OPUS-3) are now fully enrolled with 6,191 adults dosed in total, approximately 3,500 of whom received VAX-31. These studies, which were finalized in consultation and alignment with the FDA, are designed to generate a broad and robust safety, tolerability and immunogenicity dataset. In addition, we are planning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manufacturing consistency study (e.g., a lot-to-lot study) as the final Phase 3 study to enable the submission of the BLA.</w:t>
      </w:r>
    </w:p>
    <w:p>
      <w:pPr>
        <w:pStyle w:val="TextBody"/>
        <w:bidi w:val="0"/>
        <w:spacing w:lineRule="auto" w:line="268" w:before="240" w:after="283"/>
        <w:ind w:left="0" w:right="0" w:hanging="360"/>
        <w:jc w:val="left"/>
        <w:rPr/>
      </w:pPr>
      <w:r>
        <w:rPr>
          <w:color w:val="000000"/>
        </w:rPr>
        <w:t>•</w:t>
      </w:r>
      <w:r>
        <w:rPr>
          <w:rFonts w:ascii="Times New Roman;serif" w:hAnsi="Times New Roman;serif"/>
          <w:b/>
          <w:i/>
          <w:color w:val="000000"/>
          <w:sz w:val="20"/>
        </w:rPr>
        <w:t>Initiated Phase 1 Study Evaluating VAX-A1, a Potential Best-in-Class Vaccine Candidate Designed to Provide Broad Protection Against Disease Caused by Group A Streptococcus</w:t>
      </w:r>
      <w:r>
        <w:rPr>
          <w:rFonts w:ascii="Times New Roman;serif" w:hAnsi="Times New Roman;serif"/>
          <w:b w:val="false"/>
          <w:i/>
          <w:color w:val="000000"/>
          <w:sz w:val="20"/>
        </w:rPr>
        <w:t xml:space="preserve">: </w:t>
      </w:r>
      <w:r>
        <w:rPr>
          <w:rFonts w:ascii="Times New Roman;serif" w:hAnsi="Times New Roman;serif"/>
          <w:b w:val="false"/>
          <w:color w:val="000000"/>
          <w:sz w:val="20"/>
        </w:rPr>
        <w:t>In June 2026, we announced that the first participant was dosed in the Phase 1, first-in-human study evaluating VAX-A1, an investigational prophylactic vaccine candidate designed to prevent disease caused by Group A Strep, with the primary objective of assessing safety and tolerability, along with a secondary objective of evaluating initial immunogenicity data, to support potential further advancement. All participants enrolled in Stage 1 of the study have received the first of two planned doses. The Stage 2 portion of the study is expected to proceed contingent upon the Data Safety Monitoring Board's approval following the review of unblinded Stage 1 safety and tolerability data. All participants in the study will be evaluated for safety through six months after receiving the second dose. Group A Strep remains a major global cause of morbidity and mortality in adults and children and is a leading driver of antibiotic use, underscoring the significant public health burden.'</w:t>
      </w:r>
    </w:p>
    <w:p>
      <w:pPr>
        <w:pStyle w:val="TextBody"/>
        <w:bidi w:val="0"/>
        <w:spacing w:lineRule="auto" w:line="268" w:before="240" w:after="283"/>
        <w:ind w:left="0" w:right="0" w:hanging="360"/>
        <w:jc w:val="left"/>
        <w:rPr/>
      </w:pPr>
      <w:r>
        <w:rPr>
          <w:color w:val="000000"/>
        </w:rPr>
        <w:t>•</w:t>
      </w:r>
      <w:r>
        <w:rPr>
          <w:rFonts w:ascii="Times New Roman;serif" w:hAnsi="Times New Roman;serif"/>
          <w:b/>
          <w:i/>
          <w:color w:val="000000"/>
          <w:sz w:val="20"/>
        </w:rPr>
        <w:t>Appointment and Retirement of Directors</w:t>
      </w:r>
      <w:r>
        <w:rPr>
          <w:rFonts w:ascii="Times New Roman;serif" w:hAnsi="Times New Roman;serif"/>
          <w:b w:val="false"/>
          <w:i/>
          <w:color w:val="000000"/>
          <w:sz w:val="20"/>
        </w:rPr>
        <w:t xml:space="preserve">: </w:t>
      </w:r>
      <w:r>
        <w:rPr>
          <w:rFonts w:ascii="Times New Roman;serif" w:hAnsi="Times New Roman;serif"/>
          <w:b w:val="false"/>
          <w:color w:val="000000"/>
          <w:sz w:val="20"/>
        </w:rPr>
        <w:t>The Board of Directors has appointed two new members, Dr. Moncef Slaoui and Dr. John Markels, to replace retiring members, Mr. Jacks Lee and Dr. Heath Lukatch. We thank both retiring members for their considerable contributions during their service. Dr. Slaoui most recently served as Chief Scientific Advisor of Operation Warp Speed, the U.S. government effort to accelerate the development of COVID-19 vaccines. Prior to that, Dr. Slaoui spent nearly 30 years at GlaxoSmithKline, where he served as a member of the board of directors of GSK plc; Chairman of Pharmaceutical R&amp;D; Chairman of Global R&amp;D, Vaccines and Oncology; and Chairman of Global Vaccines, during which he was directly involved in building the company's vaccine pipeline. Dr. John Markels brings over 35 years of leadership experience in the pharmaceutical industry, including a longstanding tenure with Merck where he most recently served as President of Merck Global Vaccines. He has worked across global commercial leadership, strategy and organizational development, as well as manufacturing, development and technology transfer.</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inception in November 2013, we have devoted substantially all of our resources to performing research and development, undertaking preclinical studies, advancing our vaccine candidates through clinical trials,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We do not have any products approved for sale and have not generated any revenue from product sales. To date, we have financed our operations primarily with proceeds from the sales of our common stock, pre-funded warrants to purchase our common stock and, prior to our initial public offering (“IPO”) in June 2020, redeemable convertible preferred stock. We will continue to require additional capital to develop and commercialize our vaccine candidates and fund operations for the foreseeable future. Accordingly, until such time as we can generate significant revenue from sales of our vaccine candidates, if ever,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in each year since inception and expect to continue to incur net losses in the foreseeable future. Our net losses may fluctuate significantly from quarter-to-quarter and year-to-year, depending in large part on the timing of our clinical trials and manufacturing activities, and our expenditures on other research and development activities. Our net loss was $284.3 million and $604.9 million for the three and six months, respectively, ended June 30, 2026. As of June 30, 2026, we had an accumulated deficit of $2.8 billion and cash, cash equivalents and investments of $2.5 billion. We believe our cash, cash equivalents and investments will be sufficient to fund our operating expenses and capital expenditure requirements through at least 12 months from the filing date of this Quarterly Report on Form 10-Q.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generate any revenue from commercial product sales unless and until we successfully complete development and obtain regulatory approval for one or more of our vaccine candidates, which we expect will take a number of years. We expect our expenses will increase in connection with our ongoing activities, as we: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advance our vaccine candidates through preclinical studies and clinical trials;</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progress in the scale-up of our manufacturing capabilities, in particular to prepare for the potential commercial launches of VAX-31 in the adult population and VAX-31 or VAX-24 in the pediatric population;</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incur additional costs that may be required for secondary supply sources;</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require the manufacture of supplies for our clinical trials;</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 xml:space="preserve">conduct clinical trials, in particular VAX-31 and VAX-24;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 xml:space="preserve">pursue regulatory approval of our vaccine candidates;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establish additional manufacturing capacity to meet potential incremental supply requirements following the potential commercial launches of VAX-31 in the adult population and VAX-31 or VAX-24 in the pediatric population;</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 xml:space="preserve">hire additional personnel;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 xml:space="preserve">scale medical affairs and commercial infrastructure to support anticipated product launches;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 xml:space="preserve">expand our facilities to support our growing workforce and lab activities;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 xml:space="preserve">acquire, discover, validate and develop additional vaccine candidates; and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 xml:space="preserve">obtain, maintain, expand and protect our intellectual property portfolio.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rely and will continue to rely on third parties to conduct our preclinical studies and clinical trials and for manufacturing and supply of our vaccine candidates. We have no internal manufacturing capabilities, and we will continue to rely on third parties, of which the main suppliers are single-source suppliers, for our preclinical and clinical trial materials. Given our stage of development, we do not yet have a marketing or sales organization and have a limited commercial infrastructure. Accordingly, if we obtain regulatory approval for any of our vaccine candidates, we also would expect to incur significant commercialization expenses related to product sales, marketing, manufacturing and distribution.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vaccine development, we are unable to predict the timing or amount of increased expenses or when or if we will be able to achieve or maintain profitability. Even if we are able to generate revenue from the sale of our vaccines, we may not become profitable. If we fail to become profitable or are unable to sustain profitability on a continuing basis, then we may be unable to continue our operations at planned levels and may be forced to reduce our operations.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Certain Significant Relationships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Lonza Ltd. (“Lonza”)</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Development and Manufacturing Services Agreements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entered into a non-exclusive development and manufacturing services agreement with Lonza effective as of March 22, 2022, which was subsequently amended on May 12, 2022, November 21, 2022 and October 31, 2023 (as amended, the “2022 Lonza DMSA”). Pursuant to the 2022 Lonza DMSA, Lonza is obligated to perform services, including manufacturing process development and clinical manufacture and supply of our proprietary PCV candidates. Subject to the terms and conditions set forth in the 2022 Lonza DMSA, Lonza has granted to us a non-exclusive, worldwide, fully paid-up, irrevocable, transferable license, including the right to grant sublicenses, under the New General Application Intellectual Property, to research, develop, make, have made, use, sell and import the Product. Unless earlier terminated, the 2022 Lonza DMSA shall remain in place for a period of five years. Either party may terminate the 2022 Lonza DMSA for any reason on prior written notice to the other party, provided that Lonza may not exercise such right until a specified future date. In addition, either party may terminate the 2022 Lonza DMSA (i) within a given time period upon any material breach that is left uncured by the other party, or (ii) immediately if the other party becomes insolvent. We may also terminate the 2022 Lonza DMSA upon an extended force majeure event. Upon expiration and/or termination of the 2022 Lonza DMSA and/or any purchase order, we will pay Lonza for all service rendered, all costs incurred, all unreimbursed capital equipment and any cancellation fees (each term as defined in the 2022 Lonza DMSA).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entered into another non-exclusive development and manufacturing services agreement with Lonza effective as of March 1, 2023 (the “2023 Lonza DMSA”). Pursuant to the 2023 Lonza DMSA, Lonza will perform manufacturing process development and the manufacture of components for our PCV candidates, including the polysaccharide antigens, our proprietary eCRM protein carrier and conjugated drug substances. Subject to the terms and conditions set forth in the 2023 Lonza DMSA, Lonza has granted to us a non-exclusive, worldwide, fully paid-up, transferable license, including the right to grant sublicenses (subject to the prior written consent of Lonza), under the New General Application Intellectual Property, to use, sell and import the Product manufactured under the 2023 Lonza DMSA (but no other products). Unless earlier terminated, the 2023 Lonza DMSA shall remain in place for a period of five years and shall automatically renew for one additional two-year period unless either party provides written notice of non-renewal at least two years prior to the fifth anniversary of the effective date. We may terminate the 2023 Lonza DMSA for any reason on prior written notice to the other party on a Project Plan-by-Project Plan basis. Either party may terminate the 2023 Lonza DMSA (i) within a given time period upon any material breach that is left uncured by the other party, (ii) immediately if the other party becomes insolvent, is dissolved or liquidated, makes a general assignment for the benefit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its creditors, or files or has filed against it, a petition in bankruptcy or has a receiver appointed for a substantial part of its assets, (iii) upon an extended force majeure event, or (iv) if it becomes apparent to either party at any stage in the provision of the Services that it will be impossible to complete the Services for scientific or technical reasons despite exercise of best commercial efforts by both parties. Pursuant to the reason for termination and the party initiating the termination, we will pay Lonza for some combination of services rendered, costs incurred, unreimbursed capital equipment and/or any cancellation fees. Upon an extended force majeure event, neither party shall have any further liability to the other party (each term as defined in the 2023 Lonza DMSA).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each of the 2022 Lonza DMSA and 2023 Lonza DMSA (collectively, the “Lonza Agreements”), we pay Lonza agreed-upon fees for their performance of development and manufacturing services and pass-through expenses incurred by Lonza for raw materials, as well as customary procurement and handling fees. Under each Lonza Agreement, we own all rights, title and interest in and to any and all New Customer Intellectual Property (as defined in each Lonza Agreement), and Lonza owns all rights, title and interest in New General Application Intellectual Property (as defined in each Lonza Agreement).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Commercial Manufacturing and Supply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13, 2023, we entered into a pre-commercial services and commercial manufacturing supply agreement with Lonza (the “Lonza Commercial Manufacturing and Supply Agreement”).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Lonza Commercial Manufacturing and Supply Agreement, Lonza constructed and built out a dedicated suite (the “Suite”) at Lonza’s facilities in Visp, Switzerland to manufacture certain key components (including drug substance) for our proprietary PCV franchise and any other products or intermediates we may choose (collectively, the “Products”). Following completion of construction and certification of the Suite for commercial operation, the Suite was handed over to the Lonza operations team on August 1, 2026, and Lonza will now maintain and operate the Suite (utilizing Lonza’s employees) to manufacture the Products as a service provided to us, including conducting related quality control and quality assurance operations. Lonza is a preferred, non-exclusive, supplier of the Products to us, and we retain the right to procure the Products from one or more alternate and/or backup manufacturers of the Products (including at our own facilities).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Lonza Commercial Manufacturing and Supply Agreement, prior to completion of construction and certification of the Suite for commercial operation, we contributed to the capital expenditure costs to construct the Suite (and own certain equipment in the Suite that was purchased or otherwise acquired by us), and paid Lonza a fixed-rate monthly service fee for Lonza’s pre-commercial services prior to commencement of commercial operations. We will now pay Lonza (i) Suite fees based on allocations of certain of Lonza’s costs to maintain the facility in which the Suite is located and to provide shared services to us and Lonza’s other customers in such facility, (ii) service fees based upon Lonza’s actual full-time equivalent employee (“FTE”) costs to operate the Suite to manufacture the Products, and (iii) equipment expenditures and certain other pass-through costs, including for raw materials. In addition, we may be obligated to pay or reimburse Lonza for certain other fees and expenses under the Lonza Commercial Manufacturing and Supply Agreement. Lonza will be eligible for certain financial bonuses, and subject to certain financial penalties, as incentives for the timely completion of certain scale-up activities, receipt of certain regulatory approvals for the Suite and manufacture of the Products in accordance with our commercial requirements.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Lonza Commercial Manufacturing and Supply Agreement will remain in effect until December 31, 2038, subject to automatic renewal for up to three additional renewal periods of five years each, unless we elect not to renew (with 24 months advanced notice to Lonza). We are permitted to terminate the Lonza Commercial Manufacturing and Supply Agreement prior to expiration, subject to applicable termination fees. Within 30 days of the Effective Date, we paid Lonza a repurposing fee (the “Repurposing Fee”) of CHF 27.0 million that will be credited back to us over a 10-year period starting upon commencement of commercial production.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 xml:space="preserve">2026 Development and Manufacturing Services Agreement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entered into a development and manufacturing services agreement with Lonza, effective as of January 1, 2026, pursuant to which Lonza will perform manufacturing process development and commercial manufacture and supply of certain key components for our proprietary PCV franchise. Under the agreement, we will pay Lonza for development and manufacturing services, in addition to paying for certain raw material and other costs. We will be required to purchase, and Lonza will be required to supply, the components pursuant to the relevant purchase orders under the agreement. In consideration of the commercial supply services and Lonza’s other obligations under the agreement, we will pay Lonza a daily fee for Lonza’s operation of the facility solely to actively manufacture the components. With respect to such commercial supply, and subject to termination rights, we and Lonza have agreed to a mutually binding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 annual facility capacity that shall be utilized by Lonza fully and exclusively for Lonza’s performance of services thereunder, which percentages may be adjusted under certain circumstances.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agreement will remain in effect until December 31, 2038, subject to automatic renewal for up to three additional renewal periods of five years each, unless we elect not to renew. We may terminate the agreement for convenience, and the agreement contains customary for-cause termination rights for each party. If the Agreement is terminated (i) by us for convenience, or (ii) by Lonza for our uncured failure to pay material, undisputed amounts of money due to Lonza, then we shall pay Lonza certain cancellation fees as specified in the agreement.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Sutro Biopharma</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Amended and Restated License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an amended and restated license agreement with Sutro Biopharma, dated October 12, 2015, which was subsequently amended on May 9, 2018, May 29, 2018, September 28, 2023 and November 21, 2023 (as amended, the “Sutro Biopharma License Agreement”). Under the Sutro Biopharma License Agreement, we received an exclusive, worldwide, royalty-bearing, sublicensable license under Sutro Biopharma’s patents and know-how relating to cell-free expression of proteins to (i) research, develop, use, sell, offer for sale, export, import and otherwise exploit specified vaccine compositions, such rights being sublicensable, for the treatment or prophylaxis of infectious diseases, excluding cancer vaccines, and (ii) manufacture, or have manufactured by an approved contract manufacturing organization, such vaccine compositions from extracts supplied by Sutro Biopharma pursuant to the Sutro Biopharma Supply Agreement (as described below). We are obligated to use commercially reasonable efforts to develop, obtain regulatory approval for and commercialize the vaccine compositions. In consideration of the rights granted under the Sutro Biopharma License Agreement, we are obligated to pay Sutro Biopharma a 4% royalty on worldwide aggregate annual net sales of our vaccine products for human health and a 2% royalty on such net sales of vaccine products for animal health. Such royalty rates are subject to specified reductions, including standard reductions for third-party payments and for expiration of relevant patent claims. We are also obligated to pay Sutro Biopharma any royalties due to Stanford University (the upstream licensor of Sutro Biopharma), to the extent the royalties payable by Sutro Biopharma to Stanford University are greater than the royalties payable by us to Sutro Biopharma. Royalties are payable on a vaccine composition-by-vaccine composition and country-by-country basis until the later of expiration of the last valid claim in the licensed patents covering such vaccine composition in such country and 10 years after the first commercial sale of such vaccine composition. The latest expiration date of a licensed Sutro Biopharma patent application, if issued, would be 2036, subject to any adjustment or extension of patent term that may be available in a particular country. In addition, we are obligated to pay Sutro Biopharma a percentage of net sublicensing revenue received in the low teen percentages. In addition, in the event we sublicense our non-manufacturing rights under the Sutro Biopharma License Agreement before a specified date, we are obligated to pay Sutro Biopharma a percentage, in the low double-digits, of the sublicensing revenue we receive under such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we and Sutro Biopharma amended certain terms of the Sutro Biopharma License Agreement, including with respect to (i) royalty reduction provisions applicable in the event of expiration of relevant patent claims, which would result in lower royalties payable by us to Sutro Biopharma under certain circumstances, (ii) the ownership, prosecution, maintenance and enforcement of certain intellectual property rights licensed or arising under the Sutro Biopharma License Agreement (including as agreed to be amended in the Option Agreement (as defined below)), and (iii) the timing and form for financial reporting of royalty payment calculations.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Sutro Biopharma License Agreement will remain in effect until terminated. The agreement may be terminated by either party for the other party’s material breach uncured within 60 days’ notice, by us at will with 60 days’ notice, or by Sutro Biopharma if we challenge Sutro Biopharma’s patents or if we undergo a change of control with a specified competitor of Sutro Biopharma.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Supply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2018, we entered into a supply agreement with Sutro Biopharma, which was subsequently amended on February 22, 2021 and November 21, 2023 (as amended, the “Sutro Biopharma Supply Agreement”) pursuant to which we purchase from Sutro Biopharma extract and custom reagents for use in manufacturing non-clinical and certain clinical supply of vaccine compositions utilizing the technology licensed under the Sutro Biopharma License at prices not to exceed a specified percentage above Sutro Biopharma’s fully burdened manufacturing cost. If any extracts or custom reagents do not meet the specifications and warranties provided, then we will not have an obligation to pay for the non-conforming product, and Sutro Biopharma will be obligated to replace the non-conforming product within the shortest possible time with conforming product at our cost. The term of the Sutro Biopharma Supply Agreement is from execution until the later of (i) July 31, 2022, or (ii) the date that we and Sutro Biopharma enter into the Phase 3/Commercial Supply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Sutro Biopharma is supplying to us each Product under the Phase 3/Commercial Supply Agreement (each term as defined in the Sutro Biopharma Supply Agreement). The Sutro Biopharma Supply Agreement may be terminated by either party for the other party’s material breach uncured within 60 days’ notice, by us at will with 60 days’ notice, or by mutual agreement of the parties. In December 2019, we exercised our right to require Sutro Biopharma to establish a second supplier for extract and custom reagents to support our anticipated clinical and commercial needs.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Option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we entered into an option grant agreement with Sutro Biopharma (the “Option Agreement”). Pursuant to the Option Agreement, we acquired from Sutro Biopharma (i) authorization to enter into an agreement with an independent alternate contract manufacturing organization (“CMO”) to directly source Sutro Biopharma’s cell-free extract, allowing us to have direct oversight over financial and operational aspects of the relationship with the CMO; and (ii) a right, but not an obligation, to obtain certain exclusive rights to internally manufacture and/or source extract from certain CMOs and the right to independently develop and make improvements to extract (including the right to make improvements to the extract manufacturing process as well as cell lines) for use in connection with the exploitation of certain vaccine compositions (the “Option”). We and Sutro Biopharma agreed to negotiate the terms and conditions of a form definitive agreement to be entered into in the event we exercise the Option, which would include the terms and conditions set forth in an executed term sheet between us (the “Term Sheet”) and such terms that were necessary to give effect to each of the terms and conditions set forth in the Term Sheet (the “Form Definitive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Option and other rights and authorizations granted to us under the Option Agreement, we paid Sutro Biopharma upfront consideration of $22.5 million, consisting of (i) $10.0 million in cash and $7.5 million worth of shares of our common stock (the number of shares calculated based on the arithmetic average of the daily volume weighted average price of our common stock as traded on Nasdaq in the three consecutive trading days immediately prior to the issuance thereof) in December 2022, and (ii) $5.0 million in October 2023 within five business days after we and Sutro Biopharma mutually agree in writing upon the Form Definitive Agreement on September 28, 2023. The 167,780 shares of common stock issued was recorded at fair value of $8.0 million on the date of settlement, December 22, 2022.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21, 2023 (the “Option Exercise Date”), we exercised the Option by submitting written notice thereof to Sutro Biopharma and concurrently paid Sutro Biopharma $50.0 million in cash as the first of two installment payments for the Option exercise price, followed by the second and final installment of $25.0 million in cash in May 2024. We determined there was no current alternative future use of the acquired manufacturing rights from the Option Agreement and, as a result, the amounts paid were expensed as incurred. Upon the occurrence of certain regulatory milestones, certain additional milestone payments may total up to $60.0 million in cash. In the event that we undergo a change of control, certain rights and payments may be accelerated. </w:t>
      </w:r>
    </w:p>
    <w:p>
      <w:pPr>
        <w:pStyle w:val="TextBody"/>
        <w:bidi w:val="0"/>
        <w:spacing w:lineRule="auto" w:line="276"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Manufacturing Rights Agreement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payment of the first installment of the Option exercise price pursuant to the Option Agreement, on November 21, 2023, the manufacturing rights agreement (in the form of the Form Definitive Agreement) between us and Sutro Biopharma (the “Manufacturing Rights Agreement”) became effective. Under the Manufacturing Rights Agreement, we received an exclusive (except as to Sutro Biopharma), perpetual (subject to termination), worldwide license, for no additional royalty (i.e., royalty-free, other than any royalties due under the Sutro Biopharma License Agreement), under Sutro Biopharma’s relevant patents and know-how, to manufacture or have manufactured extract and improvements to extract (in any form) solely for use in the research, development, use, production, sale, offering for sale, export, import, commercialization or other exploitation of Vaccine Compositions (as defined in the Sutro Biopharma License Agreement) as well as certain rights with respect to certain regulatory matters related to extract and its use in connection with such Vaccine Compositions. We have the right to extend our rights and obligations under the Manufacturing Rights Agreement to our affiliates and to sublicense our rights to manufacture extract and improvements to extract to certain third-party CMOs and other contractors (for our benefit and not for such third party’s independent commercial use). For clarity, we are not permitted to manufacture extract for sale to third parties for the independent use of such third parties. Under the Manufacturing Rights Agreement, we have the obligation to protect the confidentiality of the extract manufacturing technology, and Sutro Biopharma has certain audit rights in connection therewith.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Manufacturing Rights Agreement, upon our request and at our cost, Sutro Biopharma will support up to two technology transfers to us (or to an affiliate of ours or certain third-party CMOs designated by us) of certain Sutro Biopharma know-how, materials and information to enable us to manufacture or have manufactured extract. Under certain circumstances, Sutro Biopharma may source extract from us or certain third-party CMOs, subject to reimbursement for technology transfer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Manufacturing Rights Agreement contains certain terms with respect to the ownership, prosecution, maintenance and enforcement of certain intellectual property rights licensed or arising under the Manufacturing Rights Agreement, which are generally consistent with the Sutro Biopharma License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the Manufacturing Rights Agreement will remain in effect in perpetuity. Sutro Biopharma may only terminate the Manufacturing Rights Agreement in the event of our (i) uncured, intentional, material breach of certain confidentiality provisions resulting in actual, material harm to Sutro Biopharma’s business, (ii) uncured, intentional material breach of certain provisions relating to the use of certain of Sutro Biopharma’s know-how outside of the Vaccine Field, (iii) unintentional, material breach of certain provisions relating to the use of certain of Sutro Biopharma’s know-how outside of the Vaccine Field that we do not use reasonable best efforts to cease and (to the extent reasonably curable) cure in a timely fashion, or (iv) uncured failure to pay the Option exercise price or any undisputed milestone payment under the Option Agreement when due. We may terminate the Manufacturing Rights Agreement at our discretion upon 60 days’ written notice, and both parties may terminate the Manufacturing Rights Agreement upon mutual written consent.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Thermo Fisher Scientific</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Commercial Manufacturing and Supply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24, 2025, we entered into a master services agreement with Patheon Manufacturing Services LLC, part of Thermo Fisher Scientific (collectively, “Thermo Fisher”), pursuant to which Thermo Fisher will formulate, fill, inspect, package, label, test, manufacture and supply drug product for us at Thermo Fisher’s facility in Greenville, North Carolina (the "Thermo Fisher Commercial Manufacturing and Supply Agreement"). Pursuant to the Thermo Fisher Commercial Manufacturing and Supply Agreement, we have agreed to order drug product from Thermo Fisher based on certain binding forecast periods and established prices. In addition, we will also pay Thermo Fisher for technology transfer activities and reimburse Thermo Fisher for certain out-of-pocket capital expenditures under the terms of the agreement.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Thermo Fisher Commercial Manufacturing and Supply Agreement has an initial term of 15 years and will automatically renew for additional three-year periods unless either party provides notice of non-renewal before the end of the then existing term, subject to completion of ongoing services. We are permitted to terminate the Thermo Fisher Commercial Manufacturing and Supply Agreement prior to expiration, subject to the payment of applicable termination fees, plus certain capital expenditure commitments.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Impact of Certain Trends and Macroeconomic Environment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in an industry that is subject to significant government regulation. Our operations are subject to significant risk and uncertainties, including financial, operational, technological, regulatory and political risks. Such factors include, but are not necessarily limited to, the results of clinical testing and trial activities; our ability to adequately demonstrate sufficient safety, tolerability and immunogenicity or efficacy of our vaccine candidates; our ability to enroll subjects in our ongoing and future clinical trials; our ability to successfully manufacture and supply our vaccine candidates for clinical trials or for future potential commercialization; our ability to obtain additional capital to finance our operations; our ability to obtain, maintain and protect our intellectual property rights; developments relating to our competitors and our industry, including competing vaccine candidates; the ability to obtain regulatory approval; the necessary requirements for regulatory approval; the ability to obtain favorable licensing, manufacturing or other agreements; the political and regulatory environment; general and market conditions; and other risks and uncertainties, including those more fully described in the “Risk Factors” section of this Quarterly Report on Form 10-Q.</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trends towards rising inflation may materially adversely affect our business and corresponding financial position and cash flows. Inflationary factors, such as increases in the cost of our clinical trial materials and supplies, fluctuating interest rates and increases in overhead costs may adversely affect our operating results. Fluctuating interest rates and rising inflation rates also present a challenge impacting the U.S. economy and could make it more difficult for us to obtain traditional financing on acceptable terms, if at all, in the future.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increases in our operating costs in the near future, including our labor costs and research and development costs, due to rising inflation, tariffs, supply chain constraints, and civil and political unrest in certain countries and regions.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240" w:after="283"/>
        <w:jc w:val="left"/>
        <w:rPr/>
      </w:pPr>
      <w:r>
        <w:r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represent costs incurred in performing research, development and manufacturing activities in support of our own product development efforts. Our research and development expenses include internal personnel-related costs (including salaries, employee benefits and stock-based compensation) for our personnel in research and development functions, and external costs including (i) product manufacturing costs, primarily related to acquiring, developing and manufacturing supplies for clinical trials and to prepare for potential future commercial launches, including fees paid to contract manufacturing organizations; (ii) clinical costs related to agreements with contract research organizations , investigative sites and consultants to conduct non-clinical and preclinical studies and clinical trials; (iii) research and development consumables, laboratory supplies and equipment costs; (iv) facility and other allocated shared services; and (v) other expenses primarily including professional and consulting services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PCV programs include VAX-31, VAX-24 and VAX-XL, and our non-PCV programs include VAX-A1, VAX-GI, and other discovery-stage programs. In August 2025, we announced that we paused the advancement, beyond preclinical development, of VAX-A1 and VAX-GI while remaining confident in their potential and preserving the option to advance the programs in the future. In June 2026, we initiated a Phase 1 adult study for VAX-A1. The majority of our external costs relate to our PCV programs compared to the costs related to non-PCV programs. Most of the external costs associated with our vaccine candidates, particularly our PCV programs, are common in nature, and can be deployed across multiple candidates or redeployed as our vaccine development strategy evolves; as a result, we do not track external costs by candidate, program or project. We do not allocate internal personnel-related costs by program or project because several of our departments support multiple vaccine candidate programs and the hours are not tracked separately by program.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VAX-31 and VAX-24 are in the clinical stages, and VAX-XL and our non-PCV programs are in preclinical stages. The majority of our external costs relate to our clinical-stage programs compared to the costs related to our preclinical-stage programs. Costs associated with preclinical programs are relatively small and insignificant to the overall financial statements. Further, several expenses are shared among various vaccine programs and, as such, we do not separately track external costs by clinical and preclinical stages.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expensed as incurred. Non-refundable advance payments for services that will be used or rendered for future research and development activities are recorded as prepaid expenses and recognized as expenses as the related services are performed.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increase in absolute dollars for the foreseeable future as we advance our vaccine candidates into and through preclinical studies and clinical trials, manufacture drug product for our clinical trials and to support the potential initial commercial launch of VAX-31 in the adult population, scale up our manufacturing activities, establish additional manufacturing capacity to meet potential incremental supply requirements following the potential commercial launches of VAX-31 in the adult population and VAX-31 or VAX-24 in the pediatric population, pursue regulatory approval of our vaccine candidates and expand our pipeline of vaccine candidates. The process of conducting the necessary preclinical and clinical research and completing the manufacturing requirements to obtain regulatory approval is costly and time-consuming. The actual probability of success for our vaccine candidates may be affected by a variety of factors, including the safety and efficacy or immunogenicity of our vaccine candidates, clinical data, investment in our clinical programs, competition, manufacturing capabilities and commercial viability. We may never succeed in achieving regulatory approval for any of our vaccine candidates. As a result of the uncertainties discussed above, we are unable to determine the duration and completion costs of our research and development projects or if, when and to what extent we will generate revenue from the commercialization and sale of our vaccine candidates.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accrue for costs related to research and development activities based on our estimates of the services received and efforts expended pursuant to quotes and contracts with vendors, including CMOs and CROs, that conduct research, development and manufacturing activities on our behalf. The financial terms of these agreements are subject to negotiation, vary from contract to contract and may result in uneven payment flows. There may be instances in which payments made to our vendors exceed the level of services provided and result in a prepayment of the research and development expense. Advance payments for goods and services to be used in future research and development activities are expensed when the activity has been performed or when the goods have been received. We make significant judgments and estimates in determining accrued research and development liabilities as of each reporting period based on the estimated time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over which services will be performed and the level of effort to be expended. If the actual timing of the performance of services or the level of effort varies from our estimate, we adjust the accrual or prepaid expense accordingly.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w:t>
      </w:r>
    </w:p>
    <w:p>
      <w:pPr>
        <w:pStyle w:val="TextBody"/>
        <w:bidi w:val="0"/>
        <w:spacing w:lineRule="auto" w:line="276" w:before="3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costs may vary significantly based on factors such as: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costs and timing of our CMC activities, including fulfilling good manufacturing practice (“GMP”) related standards and compliance, and identifying and qualifying second suppliers;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costs related to raw materials we purchase directly or through our third-party manufacturing and supply partners;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cost of clinical trials of our vaccine candidates;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changes in the standard-of-care on which a clinical development plan was based, which may require new or additional trials;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number of sites included in the trials;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countries in which the trials are conducted;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delays in adding a sufficient number of trial sites and recruiting suitable volunteers to participate in our clinical trials;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number of subjects that participate in the trials;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number of doses that subjects receive;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subjects dropping out of a study or lost in follow-up;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potential additional safety monitoring requested by regulatory agencies;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duration of subject participation in the trials and follow-up;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cost and timing of manufacturing our vaccine candidates; </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phase of development of our vaccine candidates;</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costs of establishing additional manufacturing capacity to meet potential incremental supply requirements following the potential commercial launches of VAX-31 in the adult population and VAX-31 or VAX-24 in the pediatric population;</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the costs that may be required for secondary supply sources; and</w:t>
      </w:r>
    </w:p>
    <w:p>
      <w:pPr>
        <w:pStyle w:val="TextBody"/>
        <w:bidi w:val="0"/>
        <w:spacing w:lineRule="auto" w:line="276" w:before="240" w:after="283"/>
        <w:ind w:left="0" w:right="0" w:hanging="720"/>
        <w:jc w:val="left"/>
        <w:rPr/>
      </w:pPr>
      <w:r>
        <w:rPr>
          <w:color w:val="000000"/>
        </w:rPr>
        <w:t>•</w:t>
      </w:r>
      <w:r>
        <w:rPr>
          <w:rFonts w:ascii="Times New Roman;serif" w:hAnsi="Times New Roman;serif"/>
          <w:b w:val="false"/>
          <w:color w:val="000000"/>
          <w:sz w:val="20"/>
        </w:rPr>
        <w:t xml:space="preserve">the immunogenicity or efficacy and safety and tolerability profile of our vaccine candidates.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costs and expenses related to personnel (including salaries, employee benefits and stock-based compensation) in our executive, legal, finance and accounting, human resources and other administrative functions; legal services relating to intellectual property and corporate matters; accounting, auditing, consulting and tax services; insurance; and facility and other allocated shared costs not otherwise included in research and development expenses. We expect our general and administrative expenses to continue to increase in absolute dollars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foreseeable future as we increase our headcount and expand our services to support our continued research and development activities and grow our business.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Income (Expense), Net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includes interest income earned from our cash, cash equivalents and investments, grant income and foreign currency transaction gains (losses) related to our Swiss Franc and Euro cash and liability balances, loss on disposals of fixed assets and interest expense. </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Interest Income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is earned from our cash and cash equivalents balances and short- and long-term investments. The cost of investment securities is adjusted for amortization of premiums and accretion of discounts to maturity. Such amortization and accretion are included in other income, net. Realized gains and losses are also included in other income, net. When the fair value of a debt security declines below its amortized cost basis, any portion of that decline attributable to credit losses, to the extent expected to be nonrecoverable before the sale of the security, is recognized in our condensed consolidated statements of operations. When the fair value of a debt security declines below its amortized cost basis due to changes in interest rates, such amounts are recorded in other comprehensive loss, and are recognized in our condensed consolidated statements of operations only if we sell or intend to sell the security before recovery of its cost basis.</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Grant Income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VAX-A1, a novel conjugate vaccine candidate designed to prevent disease caused by Group A Streptococcus, has been funded in part by a grant obtained from Combating Antibiotic Resistant Bacteria Biopharmaceutical Accelerator (“CARB-X”), a global non-profit partnership dedicated to accelerating antibacterial innovation to tackle the rising global threat of drug-resistant bacteria. The CARB-X grant provided funding of $11.7 million upon the achievement of VAX-A1 development milestones through June 2024. As of the second quarter of 2024, all of these milestones had been successfully achieved, and no further amounts will be funded under this CARB-X grant.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vaccine development program for VAX-GI, a novel preclinical vaccine candidate being developed as a preventative treatment for dysentery and shigellosis, which is caused by Shigella bacteria, is currently funded in part by two grants obtained from the NIH administered by the University of Maryland, Baltimore. Our first grant from the NIH was awarded in April 2021 and provides for potential funding up to five years totaling approximately $0.5 million. In June 2023, we received another grant from the NIH that provides for potential funding up to five years totaling approximately $4.6 million. As of June 30, 2026, we have received and expect to continue to receive funding under each of these grants.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working on a discovery program with the University of North Carolina at Chapel Hill and the University of Chicago to develop a vaccine candidate for the prevention of Chlamydia, which is funded in part by a grant from the NIAID that provides potential funding up to five years totaling approximately $9.5 million. As of June 30, 2026, we have received and expect to continue to receive funding under this grant.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from grants is recognized in the period during which the related specified expenses are incurred, provided that the conditions under which the grants were provided have been met. The amount of grant income was not material during the three and six months ended June 30, 2026 and June 30, 2025. Grant income is included as a component of Other income, net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presented: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20"/>
        <w:gridCol w:w="220"/>
        <w:gridCol w:w="221"/>
        <w:gridCol w:w="181"/>
        <w:gridCol w:w="631"/>
        <w:gridCol w:w="109"/>
        <w:gridCol w:w="109"/>
        <w:gridCol w:w="109"/>
        <w:gridCol w:w="109"/>
        <w:gridCol w:w="181"/>
        <w:gridCol w:w="631"/>
        <w:gridCol w:w="109"/>
        <w:gridCol w:w="109"/>
        <w:gridCol w:w="109"/>
        <w:gridCol w:w="109"/>
        <w:gridCol w:w="181"/>
        <w:gridCol w:w="631"/>
        <w:gridCol w:w="109"/>
        <w:gridCol w:w="109"/>
        <w:gridCol w:w="109"/>
        <w:gridCol w:w="109"/>
        <w:gridCol w:w="239"/>
        <w:gridCol w:w="242"/>
        <w:gridCol w:w="211"/>
        <w:gridCol w:w="109"/>
        <w:gridCol w:w="109"/>
        <w:gridCol w:w="109"/>
        <w:gridCol w:w="181"/>
        <w:gridCol w:w="631"/>
        <w:gridCol w:w="109"/>
        <w:gridCol w:w="109"/>
        <w:gridCol w:w="109"/>
        <w:gridCol w:w="109"/>
        <w:gridCol w:w="181"/>
        <w:gridCol w:w="631"/>
        <w:gridCol w:w="109"/>
        <w:gridCol w:w="109"/>
        <w:gridCol w:w="109"/>
        <w:gridCol w:w="109"/>
        <w:gridCol w:w="181"/>
        <w:gridCol w:w="631"/>
        <w:gridCol w:w="109"/>
        <w:gridCol w:w="109"/>
        <w:gridCol w:w="109"/>
        <w:gridCol w:w="109"/>
        <w:gridCol w:w="239"/>
        <w:gridCol w:w="242"/>
        <w:gridCol w:w="256"/>
      </w:tblGrid>
      <w:tr>
        <w:trPr/>
        <w:tc>
          <w:tcPr>
            <w:tcW w:w="5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Change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(in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Operating expenses: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Research and development</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37.9 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580,631 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69.6 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General and administrative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operating expenses</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302,777 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76,558 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33.8 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648,627 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407,012 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241,615 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59.4 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Loss from operations</w:t>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(302,777)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(226,219)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(76,558)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33.8 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(648,627)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(407,012)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(241,615)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59.4 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income, net:</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Interest income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income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(125.5)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(124.3)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other income, net</w:t>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59,646 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(41,171)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(69.0)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99,721 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loss</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(284,302)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(166,573)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(117,729)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70.7 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(604,924)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(307,291)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(297,633)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96.9 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Operating Expenses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0" w:after="0"/>
        <w:ind w:left="0" w:right="0" w:firstLine="90"/>
        <w:jc w:val="right"/>
        <w:rPr/>
      </w:pPr>
      <w:r>
        <w:rPr/>
      </w:r>
    </w:p>
    <w:p>
      <w:pPr>
        <w:pStyle w:val="TextBody"/>
        <w:bidi w:val="0"/>
        <w:spacing w:before="0" w:after="0"/>
        <w:ind w:left="0" w:right="0" w:firstLine="90"/>
        <w:jc w:val="left"/>
        <w:rPr/>
      </w:pPr>
      <w:r>
        <w:rPr/>
      </w:r>
    </w:p>
    <w:tbl>
      <w:tblPr>
        <w:tblW w:w="10205" w:type="dxa"/>
        <w:jc w:val="left"/>
        <w:tblInd w:w="0" w:type="dxa"/>
        <w:tblLayout w:type="fixed"/>
        <w:tblCellMar>
          <w:top w:w="28" w:type="dxa"/>
          <w:left w:w="28" w:type="dxa"/>
          <w:bottom w:w="28" w:type="dxa"/>
          <w:right w:w="28" w:type="dxa"/>
        </w:tblCellMar>
      </w:tblPr>
      <w:tblGrid>
        <w:gridCol w:w="536"/>
        <w:gridCol w:w="329"/>
        <w:gridCol w:w="290"/>
        <w:gridCol w:w="181"/>
        <w:gridCol w:w="616"/>
        <w:gridCol w:w="109"/>
        <w:gridCol w:w="109"/>
        <w:gridCol w:w="109"/>
        <w:gridCol w:w="109"/>
        <w:gridCol w:w="181"/>
        <w:gridCol w:w="616"/>
        <w:gridCol w:w="109"/>
        <w:gridCol w:w="109"/>
        <w:gridCol w:w="109"/>
        <w:gridCol w:w="109"/>
        <w:gridCol w:w="181"/>
        <w:gridCol w:w="541"/>
        <w:gridCol w:w="109"/>
        <w:gridCol w:w="109"/>
        <w:gridCol w:w="109"/>
        <w:gridCol w:w="109"/>
        <w:gridCol w:w="232"/>
        <w:gridCol w:w="234"/>
        <w:gridCol w:w="211"/>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232"/>
        <w:gridCol w:w="234"/>
        <w:gridCol w:w="257"/>
      </w:tblGrid>
      <w:tr>
        <w:trPr/>
        <w:tc>
          <w:tcPr>
            <w:tcW w:w="53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Change</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(in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(in thousands)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External costs: </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Product manufacturing costs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25.5 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85.7 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Clinical trials-related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143.9 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204.2 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Research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63.1 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44.2 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Facility and other allocated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Other external costs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48.7 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33.4 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external costs</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208,844 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144,730 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64,114 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44.3 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465,276 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248,535 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216,741 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87.2 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Internal costs: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Personnel-related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19.3 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23.0 </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research and development expenses</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267,852 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194,179 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73,673 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37.9 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580,631 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342,313 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238,318 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69.6 </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bl>
    <w:p>
      <w:pPr>
        <w:pStyle w:val="TextBody"/>
        <w:bidi w:val="0"/>
        <w:spacing w:before="0" w:after="0"/>
        <w:ind w:left="0" w:right="0" w:firstLine="9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$73.7 million, or 37.9%, during the three months ended June 30, 2026, compared to the corresponding period in 2025. The increase was largely driven by external costs, which grew by $64.1 million primarily due to increased activities related to clinical trials and product manufacturing in connection with our PCV programs. Clinical trials-related expenses increased by $25.4 million primarily due to the activities associated with the VAX-31 OPUS-1, OPUS-2, and OPUS-3 Phase 3 studies. Product manufacturing costs increased by $23.2 million primarily driven by increased manufacturing activities to support the potential future commercial launches. Research expenses increased by $13.3 million, and other external costs increased by $1.9 million compared to the corresponding period in 2025. The increase was further driven by internal personnel-related costs, which grew by $9.6 million, primarily due to headcount growth.</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$238.3 million, or 69.6% during the six months ended June 30, 2026 compared to the corresponding period in 2025. The increase was driven by external costs, which grew by $216.7 million largely due to increased activities related to product manufacturing and clinical trials in connection with our PCV programs. Product manufacturing costs increased by $127.0 million due to an increase in manufacturing activities, including to support the potential future commercial launches, Clinical trials-related expenses increased by $70.5 million, primarily due to the initiation of and enrollment in the VAX-31 OPUS-1, OPUS-2 and OPUS-3 Phase 3 studies, Research expenses increased by $16.1 million, and other external costs increased by $2.5 million compared to the corresponding period in 2025. The increase was further driven by internal personnel-related costs, which grew by $21.6 million largely due to headcount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$2.9 million, or 9.0% during the three months ended June 30, 2026 compared to the corresponding period in 2025, which was driven primarily by an increase in internal personnel-related costs due to headcount growth.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$3.3 million, or 5.1%, during the six months ended June 30, 2026 compared to the corresponding period in 2025 which was driven primarily by an increase in internal personnel-related costs due to headcount growth</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by $41.2 million, or 69.0%, during the three months ended June 30, 2026 compared to the corresponding period in 2025. The decrease was primarily attributable to a $35.9 million reduction in unrealized and realized foreign currency gains due to fluctuations in the foreign currency exchange rates and a $5.3 million decrease in interest income as a result of lower cash and investment balances and lower interest rates during the period.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decreased by $56.0 million, or 56.2%, during the six months ended June 30, 2026 compared to the corresponding period in 2025. The decrease was primarily attributable to a $44.4 million reduction in unrealized and realized foreign currency gains due to fluctuations in the foreign currency exchange rates and a $11.6 million decrease in interest income as a result of lower cash and investment balances and lower interest rates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From inception through June 30, 2026, we have incurred losses and negative cash flows from operations and have funded our operations primarily through the issuance of common stock, pre-funded warrants to purchase our common stock and, prior to our IPO, redeemable convertible preferred stock, totaling approximately $5.3 billion in aggregate gross proceeds and $5.1 billion net of underwriting discounts, commissions and offering expenses. As of June 30, 2026, we had $0.2 billion in cash and cash equivalents, $2.3 billion in investments and an accumulated deficit of $2.8 billion.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2, 2021, we filed a shelf registration statement on Form S-3ASR (the “2021 Shelf Registration Statement”) under which we could, from time to time, sell securities in one or more offerings of our common stock, preferred stock, debt securities or warrants. The 2021 Shelf Registration Statement became automatically effective upon the filing of the Form S-3ASR on July 2, 2021, and was scheduled to expire on July 2, 2024. In anticipation of such expiration, we filed a new shelf registration statement on Form S-3ASR on May 24, 2024 solely to replace the 2021 Shelf Registration Statement (such replacement registration statement, the “2024 Shelf Registration Statement”). Pursuant to the 2024 Shelf Registration Statement, we may, from time to time, sell securities in one or more offerings of our common stock, preferred stock, debt securities or warrants. The 2024 Shelf Registration Statement became automatically effective upon the filing of the Form S-3ASR on May 24, 2024.</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In July 2021, we entered into an Open Market Sales Agreement</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 xml:space="preserve">(the “Original ATM Sales Agreement”) with Jefferies LLC (“Jefferies”), which provided that, upon the terms and subject to the conditions and limitations set forth in the Original ATM Sales Agreement, we had the right to issue and sell, from time to time, shares of our common stock having an aggregate offering price of up to $150.0 million through Jefferies acting as our sales agent or principal. As of February 27, 2023, we had sold 4,995,709 shares of our common stock under the Original ATM Sales Agreement at a weighted average price of $27.57 per share for aggregate gross proceeds of $137.8 million. On February 27, 2023, we and Jefferies entered into an amendment to the Original ATM Sales Agreement (as amended, the “Amended ATM Sales Agreement”) pursuant to which we had the right to issue and sell, from time to time, shares of our common stock having an aggregate offering price of up to $400.0 million. Effective as of February 24, 2026, we terminated the Amended ATM Sales Agreement. Prior to termination, we sold 4,211,367 shares of our common stock under the Amended ATM Sales Agreement at a weighted average price of $64.19 per share for aggregate gross proceeds of $270.3 million ($264.2 million net of commissions and offering expenses).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we entered into a Sales Agreement (the "2026 ATM Sales Agreement") with Leerink Partners LLC ("Leerink Partners"), to issue and sell, from time to time at our discretion, shares of our common stock at an aggregate offering price up to $500.0 million through Leerink Partners as our sales agent. We will pay Leerink Partners a commission of up to 3.0% of the gross sales proceeds of any common stock sold through Leerink Partners under the 2026 ATM Sales Agreement; however, we are not obligated to make any sales of common stock. As of June 30, 2026, we have not sold any shares of our common stock under the 2026 ATM Sales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Underwritten Follow-on Public Offerings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From January 2022 through September 2024, we successfully completed a number of underwritten public offerings, which included pre-funded warrants to purchase a total of 10,458,434 shares of our common stock. The pre-funded warrants are exercisable, at the option of each holder, in whole or in part by delivering to us a duly executed exercise notice and payment of the exercise price. Each pre-funded warrant has an exercise price of $0.001 per share. No fractional shares of common stock will be issued in connection with the exercise of a pre-funded warrant. The holders of the pre-funded warrants may also satisfy their obligation to pay the exercise price through a “cashless exercise,” in which the holder receives the net value of the pre-funded warrant in shares of common stock determined according to the formula set forth in the pre-funded warrant.</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will not expire until they are fully exercised. However, we may not effect the exercise of any pre-funded warrants, and a holder will not be entitled to exercise any portion of any pre-funded warrants that, upon giving effect to such exercise, would cause: (i) the aggregate number of shares of our common stock beneficially owned by such holder (together with affiliates) to exceed 4.99% or 9.99% of the number of shares of our common stock outstanding immediately after giving effect to the exercise, as applicable; or (ii) the combined voting power of our securities beneficially owned by such holder (together with its affiliates) to exceed 4.99% or 9.99% of the combined voting power of all of our securities outstanding immediately after giving effect to the exercise, as applicable, as such percentage ownership is determined in accordance with the terms of the pre-funded warrants. However, any holder of a pre-funded warrant may increase or decrease such percentage to any other percentage not in excess of 19.99% upon at least 61 days' prior notice for the holder to us.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640,705 and 4,140,705 shares underlying the pre-funded warrants were exercised, respectively, to receive 640,685 and 4,140,644 shares of common stock, respectively, net of exercise costs. No shares underlying the pre-funded warrants were exercised during the three and six months ended June 30, 2026. As of both June 30, 2026 and December 31, 2025, a total of 5,463,793 shares underlying pre-funded warrants were outstanding.</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we completed an underwritten public offering of 12,650,000 shares of our common stock, which included the full exercise of the underwriters’ option to purchase an additional 1,650,000 shares, at a price of $50.00 per share. In aggregate, we received $601.8 million in net proceeds after deducting underwriting discounts, commissions and other offering expenses payable by us.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2026, a total of 3,946,094 shares underlying the pre-funded warrants from various underwritten public offerings were exercised to receive 3,946,020 shares of common stock, net of exercise costs.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Funding Requirements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uses of cash are to fund our operations, which consist primarily of research, development and manufacturing expenditures related to our programs and, to a lesser extent, capital expenditures for our commercial manufacturing facility build-out and general and administrative expenditures. We anticipate that we will continue to incur significant expenses and capital expenditures for the foreseeable future as we continue to advance our vaccine candidates, expand our corporate infrastructure, further our research and development initiatives for our vaccine candidates, build out and operate our commercial manufacturing facilities, and scale our laboratory and manufacturing operations.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equivalents and investments as of the date of this Quarterly Report on Form 10-Q will be sufficient to fund our operating expenses and capital expenditure requirements through at least 12 months from the filing date of this Quarterly Report on Form 10-Q. We have raised substantial capital; however, we will need to raise substantial additional capital to complete development, manufacturing and commercialization of our drug candidates. Until we can generate sufficient revenue from the commercialization of our vaccine candidates or from collaboration agreements with third parties,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 The sale of equity, pre-funded warrants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deteriorating global economic conditions, including higher inflation rates and changes in interest rates, and the recent disruptions to and volatility in the credit and financial markets in the United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worldwide.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timing, scope, progress, results and costs of research and development, testing, screening, manufacturing, preclinical development and clinical trials;</w:t>
      </w:r>
    </w:p>
    <w:p>
      <w:pPr>
        <w:pStyle w:val="TextBody"/>
        <w:bidi w:val="0"/>
        <w:spacing w:before="0" w:after="0"/>
        <w:ind w:left="0" w:right="0" w:hanging="36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val="false"/>
          <w:color w:val="000000"/>
          <w:sz w:val="20"/>
        </w:rPr>
        <w:t>the costs of establishing additional manufacturing capacity to meet potential incremental supply requirements following the potential commercial launches of VAX-31 in the adult population and VAX-31 or VAX-24 in the pediatric population;</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outcome, timing and cost of seeking and obtaining regulatory approvals from the FDA and comparable foreign regulatory authorities, which may require more studies than those that we currently expect or change their requirements regarding the data required to support a marketing application;</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cost of building a sales force in anticipation of any product commercialization;</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costs of future commercialization activities, including product manufacturing, marketing, sales, royalties and distribution, for any of our vaccine candidates for which we receive marketing approval;</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exchange rate fluctuations due to exposure of foreign operations and foreign currency fluctuations and translations;</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any product liability or other lawsuits related to our products;</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revenue, if any, received from commercial sales, or sales to foreign governments, of our vaccine candidates for which we may receive marketing approval;</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expenses needed to attract, hire and retain skilled personnel; and</w:t>
      </w:r>
    </w:p>
    <w:p>
      <w:pPr>
        <w:pStyle w:val="TextBody"/>
        <w:bidi w:val="0"/>
        <w:spacing w:lineRule="auto" w:line="276" w:before="120" w:after="283"/>
        <w:ind w:left="0" w:right="0" w:hanging="720"/>
        <w:jc w:val="left"/>
        <w:rPr/>
      </w:pPr>
      <w:r>
        <w:rPr>
          <w:color w:val="000000"/>
        </w:rPr>
        <w:t>•</w:t>
      </w:r>
      <w:r>
        <w:rPr>
          <w:rFonts w:ascii="Times New Roman;serif" w:hAnsi="Times New Roman;serif"/>
          <w:b w:val="false"/>
          <w:color w:val="000000"/>
          <w:sz w:val="20"/>
        </w:rPr>
        <w:t>the impact of macroeconomic factors, including potential effects of changes in federal government regulation, rising inflation which may impact labor costs, research and development costs, tariffs, and supply chain constraints, as well as civil and political unrest in certain countries and regions, which may exacerbate the magnitude of the factors discussed above.</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could significantly change the costs and timing associated with the development of our vaccine candidates. Furthermore, our operating plans may change in the future, and we may need additional funds to meet operational needs and capital requirements associated with such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indicated: </w:t>
      </w:r>
    </w:p>
    <w:tbl>
      <w:tblPr>
        <w:tblW w:w="7493" w:type="dxa"/>
        <w:jc w:val="left"/>
        <w:tblInd w:w="0" w:type="dxa"/>
        <w:tblLayout w:type="fixed"/>
        <w:tblCellMar>
          <w:top w:w="28" w:type="dxa"/>
          <w:left w:w="28" w:type="dxa"/>
          <w:bottom w:w="28" w:type="dxa"/>
          <w:right w:w="28" w:type="dxa"/>
        </w:tblCellMar>
      </w:tblPr>
      <w:tblGrid>
        <w:gridCol w:w="1771"/>
        <w:gridCol w:w="1552"/>
        <w:gridCol w:w="1566"/>
        <w:gridCol w:w="196"/>
        <w:gridCol w:w="811"/>
        <w:gridCol w:w="109"/>
        <w:gridCol w:w="109"/>
        <w:gridCol w:w="109"/>
        <w:gridCol w:w="109"/>
        <w:gridCol w:w="196"/>
        <w:gridCol w:w="811"/>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(in thousands)</w:t>
            </w:r>
            <w:r>
              <w:rPr>
                <w:color w:val="000000"/>
                <w:shd w:fill="FFFFFF" w:val="clear"/>
              </w:rPr>
              <w:t xml:space="preserve"> </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(81,132)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Cash Flows from Operating Activities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$513.1 million, an increase of $225.7 million compared to the six months ended June 30, 2025. The increase was primarily due to higher cash expenditures to support our business growth, including increased development and manufacturing activities in connection with the adult and infant PCV programs to support the potential future commercial launches, as well as timing of payments.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Cash Flows from Investing Activities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2026 was $85.7 million, an increase of $286.8 million compared to net cash provided by investing activities for the six months ended June 30, 2025. The change was primarily attributable to a $189.3 million increase in purchases of investments and a $114.6 million decrease in maturities and sales of investments.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Cash Flows from Financing Activities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2026 was $607.3 million, an increase of $604.0 million compared to the six months ended June 30, 2025. The increase was primarily due to $601.8 million in net proceeds from the follow-on offering during the six months ended June 30, 2026, whereas no such offerings occurred during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Contractual Obligations and Commitments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material cash requirements include the following contractual and other obligations:</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operating lease agreements for our office spaces. As of June 30, 2026, we had total lease payment obligations of $158.2 million, of which $13.7 million is payable within one year. </w:t>
      </w:r>
    </w:p>
    <w:p>
      <w:pPr>
        <w:pStyle w:val="TextBody"/>
        <w:bidi w:val="0"/>
        <w:spacing w:lineRule="auto" w:line="276" w:before="240" w:after="283"/>
        <w:jc w:val="left"/>
        <w:rPr/>
      </w:pPr>
      <w:r>
        <w:rPr>
          <w:rFonts w:ascii="Times New Roman;serif" w:hAnsi="Times New Roman;serif"/>
          <w:b w:val="false"/>
          <w:color w:val="000000"/>
          <w:sz w:val="20"/>
          <w:u w:val="single"/>
        </w:rPr>
        <w:t>Option Agreement</w:t>
      </w:r>
      <w:r>
        <w:rPr>
          <w:color w:val="000000"/>
        </w:rPr>
        <w:t xml:space="preser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(the “Option Exercise Date”), we exercised the Option pursuant to the Option Agreement by submitting written notice thereof to Sutro Biopharma and paid Sutro Biopharma an aggregate of $75.0 million in cash for the Option exercise price, with the final payment made in May 2024. Upon the occurrence of certain regulatory milestones, we would be obligated to pay Sutro Biopharma certain additional milestone payments totaling up to $60.0 million in cash. In the event that we undergo a change of control, certain rights and payments may be accelerated. </w:t>
      </w:r>
    </w:p>
    <w:p>
      <w:pPr>
        <w:pStyle w:val="TextBody"/>
        <w:bidi w:val="0"/>
        <w:spacing w:lineRule="auto" w:line="276"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Purchase Commitments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certain payment obligations under various license agreements. Under these agreements, we are required to make milestone payments upon successful completion and achievement of certain intellectual property, clinical, regulatory and sales milestones. The payment obligations under the license agreements are contingent upon future events such as our achievement of specified development, clinical, regulatory and commercial milestones, and we will be required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milestone payments and royalty payments in connection with the sale of products developed under these agreements. As the achievement and timing of these future milestone payments are not probable or estimable, such amounts have not been included in our condensed consolidated balance sheets as of June 30, 2026 or December 31, 2025.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agreements in the normal course of business with CMOs and other vendors for manufacturing services and raw materials purchases. We rely on several third-party manufacturers for our manufacturing requirements. As of June 30, 2026, we had the following amounts of non-cancelable purchase commitments related to manufacturing services and raw materials purchased due to our key manufacturing partners. These amounts represent our minimum contractual obligations, including termination fees. If we terminate certain firm orders with our key manufacturing partners, we will be required to pay for the manufacturing services scheduled or raw materials purchased under our arrangements. The actual amounts we pay in the future to the vendors under such agreements may differ from the purchase order amounts. </w:t>
      </w:r>
    </w:p>
    <w:tbl>
      <w:tblPr>
        <w:tblW w:w="7259" w:type="dxa"/>
        <w:jc w:val="left"/>
        <w:tblInd w:w="0" w:type="dxa"/>
        <w:tblLayout w:type="fixed"/>
        <w:tblCellMar>
          <w:top w:w="28" w:type="dxa"/>
          <w:left w:w="28" w:type="dxa"/>
          <w:bottom w:w="28" w:type="dxa"/>
          <w:right w:w="28" w:type="dxa"/>
        </w:tblCellMar>
      </w:tblPr>
      <w:tblGrid>
        <w:gridCol w:w="2168"/>
        <w:gridCol w:w="1906"/>
        <w:gridCol w:w="1911"/>
        <w:gridCol w:w="230"/>
        <w:gridCol w:w="864"/>
        <w:gridCol w:w="180"/>
      </w:tblGrid>
      <w:tr>
        <w:trPr/>
        <w:tc>
          <w:tcPr>
            <w:tcW w:w="216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Years ending December 31, </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394,161 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241,410 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non-cancelable purchase commitments due to our key manufacturing partners</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670,189 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Judgments and Estimates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U.S. GAAP. The preparation of these condensed consolidated financial statements requires us to make estimates and assumptions that affect the reported amounts of assets, liabilities,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uncertainty in the current economic environment. To the extent that there are material differences between these estimates and our actual results, our future consolidated financial statements will be affected.</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the critical accounting estimates discussed under Item 7, "Management's Discussion and Analysis of Financial Condition and Results of Operations" in our Annual Report on Form 10-K for the fiscal year ended December 31, 2025 reflect our more significant estimates, assumptions, and judgments that have the most significant impact on our condensed consolidated financial statements. There have been no significant changes to our critical accounting estimates as filed in such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Recently Adopted Accounting Pronouncements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2, “Basis of Presentation and Summary of Significant Accounting Policies,” to our condensed consolidated financial statements included in Part I, Item 1 of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as of June 30, 2026 and December 31, 2025 consisted of readily available checking and money market funds. As of June 30, 2026 and December 31, 2025, we also invested in U.S. Treasury securities, U.S. government agency securities, corporate debt, commercial paper, certificates of deposit, and asset-backed securities. Our primary exposure to market risk is interest rate sensitivity, which is affected by changes in the general level of U.S. interest rates. We do not believe that our cash and cash equivalents have significant risk of default or illiquidity. As of June 30, 2026 and December 31, 2025, we had approximately $2.5 billion and $2.4 billion in cash, cash equivalents and investments, respectively. For the three and six months ended June 30, 2026, we had interest income of $25.8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$52.4 million, respectively. The following table shows the impact of a hypothetical 10% increase or decrease in interest rates on our net assets as of June 30, 2026 and our net loss for the six months ended June 30, 2026: </w:t>
      </w:r>
    </w:p>
    <w:tbl>
      <w:tblPr>
        <w:tblW w:w="10205" w:type="dxa"/>
        <w:jc w:val="left"/>
        <w:tblInd w:w="0" w:type="dxa"/>
        <w:tblLayout w:type="fixed"/>
        <w:tblCellMar>
          <w:top w:w="28" w:type="dxa"/>
          <w:left w:w="28" w:type="dxa"/>
          <w:bottom w:w="28" w:type="dxa"/>
          <w:right w:w="28" w:type="dxa"/>
        </w:tblCellMar>
      </w:tblPr>
      <w:tblGrid>
        <w:gridCol w:w="999"/>
        <w:gridCol w:w="878"/>
        <w:gridCol w:w="881"/>
        <w:gridCol w:w="557"/>
        <w:gridCol w:w="2040"/>
        <w:gridCol w:w="309"/>
        <w:gridCol w:w="109"/>
        <w:gridCol w:w="109"/>
        <w:gridCol w:w="109"/>
        <w:gridCol w:w="843"/>
        <w:gridCol w:w="2705"/>
        <w:gridCol w:w="66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Assets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Loss for the Six Months Ended June 30, 2026</w:t>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Hypothetical Change in Interest Rates</w:t>
            </w:r>
          </w:p>
        </w:tc>
        <w:tc>
          <w:tcPr>
            <w:tcW w:w="7447"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(in thousands)</w:t>
            </w:r>
            <w:r>
              <w:rPr>
                <w:color w:val="000000"/>
              </w:rPr>
              <w:t xml:space="preserve"> </w:t>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increase</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4,957 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decrease</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(4,957)</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a concentration of credit risk consist primarily of cash, cash equivalents and investments. We invest in U.S. Treasury securities, U.S. government agency securities, corporate debt, commercial paper, certificates of deposit, and asset-backed securities. We maintain bank deposits in federally insured financial institutions and these deposits may exceed federally insured limits. We are exposed to credit risk in the event of a default by the financial institutions holding our cash and issuers of investments to the extent recorded on the condensed consolidated balance sheets. Our investment policy limits investments to money market funds, certain types of debt securities issued by the U.S. Government and its agencies, corporate debt, commercial paper and asset-backed securities, and places restrictions on the credit ratings, maturities and concentration by type and issuer. We believe that our exposure to credit risks is not significant and that a hypothetical 10% change in credit rates would not have a significant impact on our portfolio.</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Risk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related to changes in foreign currency exchange rates, mainly relating to our contracts with Lonza, our CMO in Switzerland. We have also entered into a limited number of contracts with other parties with payments denominated in foreign currencies. Payments under these contracts are made in foreign currencies and are subject to fluctuations in foreign currency rates. We do not currently have a formal program in place to hedge foreign currency risks. However, from time to time, we buy Swiss Francs (“CHF”), which is the majority of our foreign currency exposure, at market and hold CHF in our bank accounts. As of June 30, 2026 and December 31, 2025, we had approximately $55.3 million and $38.9 million of CHF cash and cash equivalents, respectively, held at three financial institutions. As of June 30, 2026 and December 31, 2025, we had foreign currency denominated accounts payable and accrued expenses of $190.2 million and $129.0 million, respectively. As of June 30, 2026 and December 31, 2025, we had foreign currency denominated property, plant and equipment of $220.2 million and $223.7 million, respectively. As of June 30, 2026 and December 31, 2025, we had foreign currency denominated other assets of $203.0 million and $148.1 million, respectively. To date, foreign currency transaction gains and losses have not been material to our consolidated financial statements.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impact of a hypothetical 10% increase or decrease in current exchange rates on our net assets as of June 30, 2026 and our net loss for the six months ended June 30, 2026: </w:t>
      </w:r>
    </w:p>
    <w:tbl>
      <w:tblPr>
        <w:tblW w:w="10205" w:type="dxa"/>
        <w:jc w:val="left"/>
        <w:tblInd w:w="0" w:type="dxa"/>
        <w:tblLayout w:type="fixed"/>
        <w:tblCellMar>
          <w:top w:w="28" w:type="dxa"/>
          <w:left w:w="28" w:type="dxa"/>
          <w:bottom w:w="28" w:type="dxa"/>
          <w:right w:w="28" w:type="dxa"/>
        </w:tblCellMar>
      </w:tblPr>
      <w:tblGrid>
        <w:gridCol w:w="1191"/>
        <w:gridCol w:w="1047"/>
        <w:gridCol w:w="1050"/>
        <w:gridCol w:w="519"/>
        <w:gridCol w:w="1895"/>
        <w:gridCol w:w="288"/>
        <w:gridCol w:w="109"/>
        <w:gridCol w:w="109"/>
        <w:gridCol w:w="109"/>
        <w:gridCol w:w="713"/>
        <w:gridCol w:w="2611"/>
        <w:gridCol w:w="564"/>
      </w:tblGrid>
      <w:tr>
        <w:trPr/>
        <w:tc>
          <w:tcPr>
            <w:tcW w:w="119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Assets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Impact on Net Loss for the Six Months Ended June 30, 2026</w:t>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Hypothetical Change in Currency Exchange Rates</w:t>
            </w:r>
          </w:p>
        </w:tc>
        <w:tc>
          <w:tcPr>
            <w:tcW w:w="6917"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(in thousands)</w:t>
            </w:r>
            <w:r>
              <w:rPr>
                <w:color w:val="000000"/>
              </w:rPr>
              <w:t xml:space="preserve"> </w:t>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increase</w:t>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30,186 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27,549 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 decrease</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(30,186)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(27,549)</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our foreign currency risk increases in the future, we will evaluate alternative strategies, including hedging, to mitigate our foreign currency exposure.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Effects of Inflation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rate of inflation in the United States has risen to levels not experienced in decades. Inflation generally affects us by increasing our cost of labor and research and development contract costs. The extent of any future impacts from inflation on our business and our results of operations will be dependent upon how long the elevated inflation levels persist and if the rate of inflation were to accelerate, neither of which we are able to predict. If elevated levels of inflation were to persist or if the rate of inflation were to further increase, the purchasing power of our cash and cash equivalents may be eroded,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expenses could increase faster than anticipated and we may utilize our capital resources sooner than expected. We do not believe inflation had a material effect on our consolidated results of operations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(“CEO”) and our Chief Financial Officer (“CFO”), our principal executive officer and principal financial officer, respectively, have evaluated the effectiveness of the design and operation of our disclosure controls and procedures, as defined in Rules 13a-15(e) and 15d-15(e) under the Securities Exchange Act of 1934, as amended (the “Exchange Act”), as of June 30, 2026. Based on this evaluation, our CEO and CFO have concluded that our disclosure controls and procedures as of June 30, 2026 were effective at the reasonable assurance level.</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such term is defined in Rules 13a-15(f) and 15d-15(f) under the Exchange Act, that occurred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be time consuming and expensive to resolve, and divert management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 risks described below, as well as the other information in this Quarterly Report on Form 10-Q, including “Management’s Discussion and Analysis of Financial Condition and Results of Operations” and the consolidated financial statements and related notes.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Capital Needs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in the clinical or preclinical stages of vaccine development and have a limited operating history and no products approved for commercial sale, which may make it difficult for you to evaluate the success of our business to date and to assess our future viability.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devoted substantially all of our resources to performing research and development, undertaking preclinical studies, advancing our vaccine candidates through clinical trials,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As an organization, we have not yet demonstrated an ability to successfully complete clinical development, obtain regulatory approvals, manufacture a commercial-scale product or conduct sales and marketing activities necessary for successful commercialization or arrange for a third party to conduct certain of these activities on our behalf. Consequently, any predictions about our future success or viability may not be as accurate as they could be if we had a longer operating history.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encounter unforeseen expenses, difficulties, complications, delays, changes in the regulatory environment, and other known or unknown factors in achieving our business objectives, including with respect to our vaccine candidates. We will need to transition at some point from a company with a research and development focus to a company capable of supporting commercial activities. We may not be successful in such a transition.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biotechnology vaccine company. Investment in clinical-stage companies and vaccine development is highly speculative because it entails substantial upfront capital expenditures and significant risk that any potential vaccine candidate will not gain regulatory approval or become commercially viable. We do not have any products approved for sale and have not generated any revenue from product sales. As a result, we are not profitable and have incurred losses in each year since inception. Our net losses were $766.6 million and $463.9 million for the years ended December 31, 2025 and 2024, respectively, $284.3 million and $166.6 million for the three months ended June 30, 2026 and 2025, respectively, and $604.9 million and $307.3 million for the six months ended June 30, 2026 and 2025, respectively. As of June 30, 2026, we had an accumulated deficit of $2.8 billion.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spend significant resources to fund research and development of, and seek regulatory approvals for, our vaccine candidates. We expect to incur substantial and increasing operating losses over the next several years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development, manufacturing,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However, we do not expect to generate any revenue from commercial product sales unless and until we successfully complete development and obtain regulatory approval for one or more of our vaccine candidates, which we expect will take a number of years. Our prior losses and expected future losses have had and will continue to have an adverse effect on our stockholders’ equity and working capital. Even if we eventually generate revenue, we may never be profitable and, if we do achieve profitability, we may not be able to sustain or increase profitability on a quarterly or annual basis.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cash equivalents and investments of $2.5 billion. We believe our existing cash, cash equivalents and investments will fund our current operating plans through at least 12 months from the filing date of this Quarterly Report on Form 10-Q. However, our operating plan may change as a result of many factors currently unknown to us, and we may need to seek additional funds sooner than planned. Furthermore, we will need to raise substantial additional capital to complete the development, manufacturing and commercialization of our drug candidates.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raise additional capital may be adversely impacted by potential worsening global economic conditions, including higher inflation rates, changes in interest rates and the recent disruptions to and volatility in the credit and financial markets in the United States and worldwide, including the trading price of common stock, resulting from civil and political unrest in certain countries and regions. Our future capital requirements will depend on many factors, including: </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 xml:space="preserve">the timing, scope, progress, results and costs of research and development, testing, screening, manufacturing, preclinical development and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the costs of future commercialization activities, including product manufacturing, marketing, sales, royalties and distribution, for any of our vaccine candidates for which we receive marketing approval;</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outcome, timing and cost of seeking and obtaining regulatory approvals from the U.S. Food and Drug Administration (“FDA”) and comparable foreign regulatory authorities, which may require more studies than those that we currently expect or change their requirements regarding the data required to support a marketing application;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costs of establishing additional manufacturing capacity to meet potential incremental supply requirements following the initial commercial launches of VAX-31 in the adult population and VAX-31 or VAX-24 in the pediatric population, if approved;</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our ability to set an acceptable price for our product candidates and obtain coverage and adequate reimbursement from third-party payors;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costs of building a sales force in anticipation of any product commercialization;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market acceptance of our product candidates in the medical community and with third-party payors and consumers;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product liability or other lawsuits related to our products;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revenue, if any, received from commercial sales, or sales to foreign governments, of our vaccine candidates for which we may receive marketing approval;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expenses needed to attract, hire and retain skilled personnel; and</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macroeconomic factors that may exacerbate the magnitude of the factors discussed above.</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raise additional funds will depend on financial, economic and other factors, many of which are beyond our control.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vaccine candidates or other research and development initiatives. Our license agreements may also be terminated if we are unable to meet the payment obligations or milestones under the agreements. We could be required to seek collaborators for our vaccine candidates at an earlier stage than otherwise would be desirable or on terms that are less favorable than might otherwise be available, or relinquish or license on unfavorable terms our rights to our vaccine candidates in markets where we otherwise would seek to pursue development or commercialization ourselves.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Due to the significant resources required for the development of our vaccine candidates, and depending on our ability to access capital, we must prioritize development of certain vaccine candidates. Moreover, we may expend our limited resources on vaccine candidates that do not yield a successful vaccine and fail to capitalize on vaccine candidates that may be more profitable or for which there is a greater likelihood of success.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significant resources required for the development of our vaccine candidates, we must decide which vaccine candidates to pursue and advance and the amount of resources to allocate to each. Our decisions concerning the allocation of research, development, management and financial resources toward particular vaccine candidates may not lead to the development of any viable commercial vaccines and may divert resources away from better opportunities. For example, although we allocated resources for the development of VAX-24 in the adult population through a Phase 1/2 program, we made the determination to suspend further development of VAX-24 for the adult indication because we chose to advance exclusively VAX-31 for an adult Phase 3 program following the positive results of the VAX-31 adult Phase 1/2 study. Additionally, in August 2025, we announced that as part of our continued focus on strategic capital deployment and in order to prioritize our resources towards our PCV franchise, we had paused the advancement, beyond preclinical development, of VAX-GI while remaining confident in its potential and preserving the option to advance the program in the future. We also discontinued further development of VAX-PG, a vaccine candidate we were developing for periodontal disease, which demonstrated an acceptable safety profile but not sufficient efficacy signals to warrant further investment. Similarly, our potential decisions to delay, terminate, license or collaborate with third parties in respect of certain vaccine candidates may subsequently also prove to be less than optimal and could cause us to miss valuable opportunities. If we make incorrect determinations regarding the viability or market potential of any of our vaccine candidates or misread trends in the biopharmaceutical industry, in particular for vaccines, our business could be seriously harmed. As a result, we may fail to capitalize on viable commercial products or profitable market opportunities, be required to forego or delay pursuit of opportunities with other vaccine candidates that may later prove to have greater commercial potential than those we choose to pursue or relinquish valuable rights to such vaccine candidates through collaboration, licensing or other royalty arrangements in cases in which it would have been advantageous for us to invest additional resources to retain sole development, manufacturing and commercialization rights. </w:t>
      </w:r>
    </w:p>
    <w:p>
      <w:pPr>
        <w:pStyle w:val="TextBody"/>
        <w:bidi w:val="0"/>
        <w:spacing w:lineRule="auto" w:line="216"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Business and Industry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are developing a pipeline of vaccine candidates utilizing our cell-free protein synthesis platform, which is comprised of the XpressCF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exclusively licensed from Sutro Biopharma, Inc. (“Sutro Biopharma”) and our proprietary know-how for vaccine applications against infectious disease. Our future success depends on the successful application of this approach to vaccine development. We are in the clinical or preclinical stages of developing our vaccine candidates and there can be no assurance that any development problems we may experience in the future will not cause significant delays or unanticipated costs, or that such development problems can be overcome. For example, although we have achieved proof-of-concept for our carrier-sparing approach with VAX-31 and VAX-24, our approach may not be validated for our other vaccine candidates or subsequent trials of VAX-31 or VAX-24. We may also experience delays in developing a sustainable, reproducible and scalable manufacturing process or transferring that process to manufacturing partners, which may prevent us from completing our clinical trials or commercializing our products on a timely or profitable basis, if at all. In addition, since we have not yet completed clinical development on any of our product candidates, we do not know the specific doses that may be effective in the clinic or, if approved, commercially. Finding a suitable dose may delay our anticipated clinical development timelines. We may also encounter difficulty recruiting sufficient participants for our clinical studies, or the FDA may impose additional requirements on us regarding trial size or a long-term safety study that will significantly slow or forestall our development program.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expectations with regard to our scalability and costs of manufacturing may vary significantly as we develop our vaccine candidates and learn more about these critical factors. Conjugate vaccine development is highly complex, and development of broad-valency pneumococcal conjugate vaccines (“PCVs”) is further complicated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number of components, analytical assays and potential for adjustments, including, but not limited to, changes in raw materials, composition, formulation, manufacturing methods and dosing, which could result in drug substances and/or drug product that may vary between preclinical and clinical studies over time. Over the course of the development and manufacturing of VAX-24, we previously encountered process-related matters that required us to make adjustments to our processes. For example, in 2020 we encountered such process-related matters during our drug substance manufacturing campaign for VAX-24 at Lonza, Ltd. (“Lonza”). The cumulative impact of the time required to make adjustments to our processes led to a delay of our drug substance manufacturing campaign due to scheduling conflicts and capacity constraints at Lonza. There can be no assurance that we or Lonza will be able to successfully manufacture drug substances in a timely manner in the future, or at all. Such process changes and manufacturing delays have caused a change in our Investigational New Drug (“IND”) application timelines in the past and future changes or delays could impact future timelines for VAX-31, VAX-24 or for our other product candidates. In addition, if we encounter similar manufacturing issues after product approval, it will require inspection and approval of the new manufacturing site and submission of a Biologics License Application (“BLA”) supplement, which may further impede or delay commercialization.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In addition, the preclinical and clinical trial requirements of the FDA, European Medicines Agency (“EMA”) and other regulatory agencies and the criteria these regulators use to determine the safety and immunogenicity or efficacy of a vaccine candidate are determined according to the type, complexity, novelty and intended use and market of the potential products, taking into consideration the </w:t>
      </w:r>
      <w:r>
        <w:rPr>
          <w:rFonts w:ascii="Times New Roman;serif" w:hAnsi="Times New Roman;serif"/>
          <w:b w:val="false"/>
          <w:color w:val="000000"/>
          <w:sz w:val="20"/>
          <w:shd w:fill="FFFFFF" w:val="clear"/>
        </w:rPr>
        <w:t>benefits and risks for the intended population who will receive the vaccine, as well as the disease(s) to be prevented</w:t>
      </w:r>
      <w:r>
        <w:rPr>
          <w:rFonts w:ascii="Times New Roman;serif" w:hAnsi="Times New Roman;serif"/>
          <w:b w:val="false"/>
          <w:color w:val="000000"/>
          <w:sz w:val="20"/>
        </w:rPr>
        <w:t xml:space="preserve">. Regulatory agencies also </w:t>
      </w:r>
      <w:r>
        <w:rPr>
          <w:rFonts w:ascii="Times New Roman;serif" w:hAnsi="Times New Roman;serif"/>
          <w:b w:val="false"/>
          <w:color w:val="000000"/>
          <w:sz w:val="20"/>
          <w:shd w:fill="FFFFFF" w:val="clear"/>
        </w:rPr>
        <w:t>evaluate a sponsor’s data to determine whether the manufacturing and facility information assure product quality and consistency</w:t>
      </w:r>
      <w:r>
        <w:rPr>
          <w:rFonts w:ascii="Times New Roman;serif" w:hAnsi="Times New Roman;serif"/>
          <w:b w:val="false"/>
          <w:color w:val="000000"/>
          <w:sz w:val="20"/>
        </w:rPr>
        <w:t>. Approvals by the FDA and EMA for existing pneumococcal vaccines, such as Pfizer Inc.'s (“Pfizer”) Prevnar 13</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(“PCV13”) and Prevnar 20</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(“PCV20”), and Merck &amp; Co., Inc.'s (“Merck”) VAXNEUVANCE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(“PCV15”), Capvaxive</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(“PCV21”) and Pneumovax</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23 (“PPSV23”), may not be indicative of what these regulators may require for approval of our vaccine candidates. For example, in the adult population, these existing pneumococcal vaccines were previously approved based on the establishment of non-inferiority of OPA responses relative to the then current standard of care vaccine(s), on a strain-by-strain basis, where non-inferiority was defined as greater than or equal to 0.50 of the lower limit of the two-sided 95% confidence interval of the OPA geometric mean titer ratio. Following discussions with the FDA, the non-inferiority standard in our VAX-31 adult OPUS-1 Phase 3 pivotal, noninferiority trial is set at 0.667. The FDA may challenge our VAX-31 Phase 3 Chemistry, Manufacturing and Controls (“CMC”) strategy, which could cause significant delays or unanticipated costs. Additionally, novel aspects of our vaccine candidates and manufacturing processes may create further challenges in obtaining regulatory approval. The regulatory approval process for our novel vaccine candidates can be more complex and consequently more expensive and take longer than for other, better known or extensively studied pharmaceutical or other vaccine candidates. More generally, approvals by any regulatory agency may not be indicative of what any other regulatory agency may require for approval or what such regulatory agencies may require for approval in connection with new vaccine candidates. Moreover, our vaccine candidates may not perform successfully in clinical trials. Evolving regulatory approaches to vaccine approval decisions may present additional hurdles to development that would necessitate a change to our approach to meet regulatory expectations.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vaccine candidates are in clinical or preclinical stages of development and may fail in development or suffer delays that materially and adversely affect their commercial viability. If we are unable to complete development of or commercialize our vaccine candidates or experience significant delays in doing so, our business would be materially harmed.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achieve and sustain profitability depends on obtaining regulatory approvals for and successfully commercializing our vaccine candidates, either alone or with third parties, and we cannot guarantee that we will ever obtain regulatory approval for any of our vaccine candidates. We have limited experience in conducting and managing the clinical trials necessary to obtain regulatory approvals, including approval by the FDA, and we may never be able to obtain marketing approval for any of our product candidates. Before obtaining regulatory approval for the commercial distribution of our vaccine candidates, we must conduct extensive preclinical studies and clinical trials to demonstrate the safety and immunogenicity or efficacy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have the financial resources to continue development of, or to enter into new collaborations for, a vaccine candidate if we experience any issues that delay or prevent regulatory approval of, or our ability to commercialize, vaccine candidates, including: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negative or inconclusive results from our preclinical or clinical trials, leading to a decision or requirement to conduct additional preclinical studies or clinical trials or abandon a program;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product-related adverse effects experienced by volunteers in our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difficulty achieving successful development of our manufacturing processes, including process development and scale-up activities to supply products for preclinical studies, clinical trials and commercial sale, if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timely completion of our preclinical studies and clinical trials, including any field efficacy studies that may be required, which may be significantly slower or cost more than we currently anticipate and will depend substantially upon the performance of third-party contractors;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inability of us or any third-party contract manufacturer to scale up manufacturing of our vaccine candidates to supply the needs of preclinical studies, clinical trials and commercial sales, and to manufacture such products in conformity with regulatory requirements;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submitting IND applications or comparable foreign applications or delays or failures in obtaining necessary authorizations from regulators to commence a clinical trial, or suspension or termination of a clinical trial once commenced;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conditions imposed by the FDA or similar foreign authorities regarding the scope or design of our clinical trials, including any requirements to perform field efficacy studies;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challenges by the FDA to our clinical or regulatory strategies;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FDA personnel that alter the FDA’s advice with respect to our development strategy;</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enrolling subjects in our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inadequate supply or quality of vaccine candidate components or materials or other supplies necessary for conducting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inability to obtain alternative sources of supply for which we have a single source for vaccine candidate components;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availability of coverage and adequate reimbursement and pricing from third-party payors, including government authorities, pertaining to the vaccine candidate, once approved, and patients’ willingness to pay out-of-pocket if third-party payor reimbursement is limited or not available;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greater than anticipated costs of our clinical trials, including CMC activities related to our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harmful side effects or inability of our vaccine candidates to meet immunogenicity or efficacy endpoints;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unfavorable FDA or other regulatory agency inspection and review of one or more of our clinical trial sites or our contract manufacturers’ facilities;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failure of our third-party contractors or investigators to comply with regulatory requirements or otherwise meet their obligations in a timely manner, or at all;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and changes in regulatory requirements, policy and guidelines, including the imposition of additional regulatory oversight around clinical testing generally or with respect to our technology or vaccine candidates in particular; or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varying interpretations of our data by the FDA and comparable foreign regulatory authorities.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changes to the standard-of-care or the approval standards for new vaccines have, and could again in the future, change the threshold for achievement of non-inferiority using the established surrogate immune endpoints that our PCVs will need to meet in our clinical trials.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complete development of or commercialize our vaccine candidates, or significant delays in doing so due to one or more of these factors, could have a material and adverse effect on our business, financial condition, results of operations and prospects.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vaccine candidates.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PCV candidates. If we are unable to successfully develop, obtain approval for and effectively commercialize our PCV candidates, our business would be significantly harmed.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future success depends on our ability to successfully develop, obtain regulatory approval of, and then commercialize our PCV candidates, which include VAX-31, our 31-valent clinical PCV candidate in development for both the adult and pediatric populations, VAX-24, our 24-valent clinical PCV candidate in development for the pediatric population, and VAX-XL, our third-generation PCV candidate designed to provide the broadest coverage of any PCV currently in development. Although VAX-31 has produced positive topline results in a Phase 1/2 clinical study in adults, it may not demonstrate the same results in the adult pivotal Phase 3 studies needed to obtain marketing approval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FDA or comparable foreign regulatory authorities or in infant clinical studies. VAX-31 and VAX-24 will require additional clinical and non-clinical development, regulatory review and approval in multiple jurisdictions, substantial investment, access to sufficient clinical and commercial manufacturing capacity and significant marketing efforts before we can generate any revenue from product sales. We cannot provide any assurance that we will be able to successfully advance our PCV candidates through the development process.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and commercial success of VAX-31, VAX-24, and future vaccine candidates will depend on a number of factors, including the following: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our ability to raise any additional required capital on acceptable terms, or at all;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our ability to complete IND-enabling studies and successfully submit IND or comparable applications;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ability of third parties with whom we contract to manufacture adequate clinical study and commercial supplies of our lead vaccine candidates or any future vaccine candidates, remain in good standing with regulatory agencies and develop, validate and maintain commercially viable manufacturing processes that are compliant with current good manufacturing practices (“cGMP”) and do so in a timely manner;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timely completion of our preclinical studies and clinical trials, which may be significantly slower or cost more than we currently anticipate and will depend substantially upon the performance of third-party contractors;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whether we are required by the FDA or similar foreign regulatory agencies to conduct additional clinical trials, including field efficacy studies, long-term safety studies, or other studies beyond those planned to support the approval and commercialization of our vaccine candidates or any future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acceptance of our proposed indications and primary surrogate endpoint assessments for our PCV candidates by the FDA and similar foreign regulatory authorities;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changes to the required threshold for the achievement of non-inferiority using established surrogate immune endpoints that our PCVs will need to meet in our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ability to demonstrate to the satisfaction of the FDA or comparable foreign regulatory authorities the safety and immunogenicity or efficacy and acceptable risk to benefit profile of our PCV candidates and any future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pace and prevalence of serotype replacement following the introduction of our PCV candidates or other vaccines targeting pneumococcal disease;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vaccine-vaccine interference studies that may be required, particularly with the standard-of-care pediatric vaccine regimen;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prevalence, duration and severity of potential side effects or other safety issues experienced with our vaccine candidates or future approved products, if any;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timely receipt of necessary marketing approvals from the FDA or comparable foreign regulatory authorities;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achieving, maintaining and, where applicable, ensuring that our third-party contractors achieve and maintain compliance with our contractual obligations and with all regulatory requirements applicable to our lead vaccine candidates or any future vaccine candidates or approved products, if any;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obtaining and maintaining Advisory Committee on Immunization Practices (“ACIP”), comparable foreign regulatory authority, professional society, or other clinical recommendation of our vaccine candidates and the willingness of physicians, operators of clinics and patients to utilize or adopt any of our future vaccine candidates to prevent or treat age-associated diseases;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ability to successfully develop a commercial strategy and thereafter commercialize our vaccine candidates or any future vaccine candidates in the United States and internationally, if approved for marketing, reimbursement, sale and distribution in such countries and territories, whether alone or in collaboration with others;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convenience of our treatment or dosing regimen;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acceptance by physicians, payors and patients of the benefits, safety and immunogenicity or efficacy of our vaccine candidates or any future vaccine candidates, if approved, including relative to alternative and competing treatments;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patient demand for our vaccine candidates, if approved;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ability to establish and enforce intellectual property rights in and to our vaccine candidates or any future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ability to avoid third-party patent interference, intellectual property challenges or intellectual property infringement claims;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our ability to set an acceptable price for our product candidates and obtain coverage and adequate reimbursement from third-party payors;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macroeconomic factors that may exacerbate the magnitude of the factors discussed above.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factors, many of which are beyond our control, could cause us to experience significant delays or an inability to obtain regulatory approvals or commercialize our vaccine candidates. Even if regulatory approvals are obtained, we may never be able to successfully commercialize any of our vaccine candidates. Accordingly, we cannot provide assurances that we will be able to generate sufficient revenue through the sale of our vaccine candidates or any future vaccine candidates to continue our business or achieve profitability.</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primary competitors have significantly greater resources and experience than we do, which may make it difficult for us to successfully develop and commercialize our vaccine candidates, or may result in others discovering, developing or commercializing products before or more successfully than us.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vaccine market is intensely competitive and is dominated by a small number of multinational, globally established pharmaceutical corporations with significant resources; in recent history, Pfizer, Merck, GSK plc (“GSK”) and Sanofi have been responsible for developing and introducing most new vaccines to the world. We may also face competition from many different sources, including pharmaceutical and biotechnology companies, academic institutions, governmental agencies and public and private research institutions. </w:t>
      </w:r>
    </w:p>
    <w:p>
      <w:pPr>
        <w:pStyle w:val="TextBody"/>
        <w:bidi w:val="0"/>
        <w:spacing w:before="240" w:after="283"/>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Vaccine candidates that we successfully develop and commercialize may compete with existing vaccines and new vaccines that may become available in the future. Many of our competitors have substantially greater financial, lobbying, technical, human and other resources than we do and may be better equipped to develop, manufacture and market technologically superior vaccines, including the potential that our competitors may develop chemical processes or utilize novel technologies for developing vaccines that may be superior to those we employ. In addition, many of these competitors have significantly greater experience than we have in undertaking preclinical studies and clinical trials of new products and in obtaining regulatory approvals, including for many vaccine franchises. Accordingly, our competitors may succeed in obtaining FDA approval or a preferred recommendation from ACIP for their products. For example, PCV13 obtained FDA approval for the prevention of invasive pneumococcal disease (“IPD”) in infants based on non-inferior IgG antibody responses relative to Prevnar, using the surrogate immune endpoints established by the prior Prevnar field efficacy study. Pfizer implemented a similar approach to the development of its 20-valent PCV vaccine candidate, PCV20, which was approved by the FDA in June 2021 for use in adults and in April 2023 for use in infants and children. Pfizer previously announced that it was developing a 25-valent PCV candidate ("PCV25") that was in adult and pediatric Phase 2 clinical trials, and that it was working on a 30-plus valent PCV candidate that was in preclinical development. Pfizer announced in November 2025 that it planned to initiate adult and pediatric pivotal trials evaluating PCV25 in 2026. In May 2026, Pfizer announced the initiation of a Phase 3 pediatric program evaluating PCV25 and the termination of its adult 25-valent program in favor of a preclinical 35-valent candidate, which it expects will enter clinical development in 2026. Merck received approval for PCV15, its 15-valent PCV, in July 2021 for use in adults and in June 2022 for use in infants and children. Merck announced in June 2024 that PCV21, its 21-valent PCV, received approval from the FDA for use in adults. In September 2025, Merck announced positive results from its Phase 3 study evaluating PCV21 in children aged 2–17 with increased risk for pneumococcal disease. In June 2026, Merck announced that the FDA approved an additional indication for PCV21 in children aged 2–17 with increased risk of pneumococcal disease who have previously completed a primary pediatric pneumococcal series. Merck is also advancing additional next-generation PCV candidates through multiple early-phase clinical studies evaluating different formulations. In addition, Sanofi and SK bioscience have partnered to develop a 21-valent PCV and, in June 2023, announced positive results from their Phase 2 clinical trials in infants. In December 2024, Sanofi and SK bioscience announced the initiation of a global pediatric Phase 3 clinical program of their 21-valent PCV candidate, as well as an expanded agreement to develop, license and commercialize "next-generation" PCVs for both pediatric and adult populations. In February 2026, SK bioscience announced that it expected topline results from this Phase 3 study to be available in 2027, and that a next-generation PCV candidate, also co-developed with Sanofi, was in preclinical development with clinical trial entry expected in 2026. In March 2026, SK bioscience announced that it was targeting 2029 for commercialization of its 21-valent PCV candidate, which it is co-developing with Sanofi. GSK, which previously acquired Affinivax, was previously developing a 24</w:t>
        <w:noBreakHyphen/>
        <w:t>valent affinity</w:t>
        <w:noBreakHyphen/>
        <w:t>bound pneumococcal vaccine candidate in adults and infants. In October 2024, GSK announced the termination of their adult 24-valent program in favor of a preclinical 30-plus valent candidate. In October 2025, GSK announced the initiation of a Phase 1 study in Australia evaluating its 30-plus valent candidate in adults. In the fourth quarter of 2025, GSK removed its pediatric 24-valent candidate, which had previously advanced into a Phase 2 clinical trial program, from its publicly disclosed pipeline.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competitors have established distribution channels for the commercialization of their vaccine products, whereas we have no such established channels or capabilities. In addition, many competitors have greater name recognition, more extensive collaborative relationships or the ability to leverage a broader vaccine portfolio. Our commercial opportunity could be reduced or eliminated if our competitors develop and commercialize vaccines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safer, more effective, more convenient, less expensive or with a more favorable label than any vaccine candidates that we may develop.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our competitors may obtain regulatory approval of their products before we are able to, which may limit our ability to develop or commercialize our vaccine candidates, or achieve a competitive position in the market. This would adversely affect our ability to generate revenue. Our competitors may also develop vaccines that are safer, more effective, more widely accepted or less expensive than ours, and may also be more successful than we are in manufacturing and marketing their products. These advantages could render our vaccine candidates obsolete or non-competitive before we can recover the costs of such vaccine candidates’ development, manufacturing and commercialization.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enrollment for clinical trials, as well as in acquiring technologies complementary to, or necessary for, our programs.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and our contract manufacturers may face difficulty satisfying CMC requirements imposed by the FDA and comparable foreign regulatory authorities. To date, no product developed using a cell-free manufacturing platform has received approval from the FDA or been commercialized.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we are designing and developing a manufacturing process that we believe can scale to address clinical and commercial vaccine supply, we do not own or operate any manufacturing facilities. We rely on contract manufacturing organizations (“CMOs”) to access resources to facilitate the development and, if approved, commercialization of VAX-31 or VAX-24 and our other vaccine candidates. Advancing our vaccine candidates may create significant challenges for our CMOs, including: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manufacturing our vaccine candidates to our specifications, including process development, analytical development and quality control testing, and in a timely manner to support our preclinical and clinical trials and, if approved, commercialization;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maintaining a cGMP-compliant facility and passing a pre-approval inspection;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sourcing the raw materials used to manufacture our vaccine candidates for preclinical, clinical and, if approved, commercial supplies;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establishing sales and marketing capabilities upon obtaining any regulatory approval to gain market acceptance of our vaccines.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Before we can initiate a clinical trial or commercialize any of our vaccine candidates, we must demonstrate to the FDA that the CMC for our vaccine candidates meet applicable requirements, and prior to authorization in the European Union (“EU”), a manufacturing authorization must be obtained from the appropriate EU regulatory authorities. Because no product manufactured on a cell-free manufacturing platform has been approved in the United States, there is no manufacturing facility that has demonstrated the ability to comply with FDA requirements, and, therefore, the timeframe for demonstrating compliance to the FDA’s satisfaction is uncertain. Personnel changes at regulatory agencies could impact or delay the timing of pre-approval inspections or the issuance of required authorizations. Delays in establishing our manufacturing process and ensuring the facilities we utilize for manufacturing comply with cGMP or disruptions in our manufacturing processes, implementation of novel technologies or scale-up activities, may delay or disrupt our development efforts.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obtain regulatory approval of our vaccine candidates, the products may not gain market acceptance among regulators, advisory boards, physicians, patients, third-party payors and others in the medical community necessary for commercial success.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if any of our vaccine candidates receive marketing approval, they may fail to receive recommendations for use by regulators or advisory boards that recommend vaccines, or gain market acceptance by physicians, patients, third-party payors and others in the medical community. If such vaccine candidates do not achieve an adequate level of acceptance, we may not generate significant product revenue and may not become profitable. The degree of market acceptance of any vaccine candidate, if approved for commercial sale, will depend on a number of factors, including, but not limited to: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receiving the U.S. Centers for Disease Control and Prevention (“CDC”), ACIP, comparable foreign regulatory authority, professional society, or other clinical recommendation for use;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prevalence and severity of the disease targets for which our vaccine candidates are approved;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physicians, hospitals, third-party payors and patients considering our vaccine candidates as safe and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potential and perceived advantages of our vaccine candidates over existing vaccines, including with respect to spectrum of coverage or immunogenicity;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prevalence and severity of any side effects;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product labeling or product insert requirements of the FDA or comparable foreign regulatory and advisory bodies;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limitations or warnings contained in the labeling approved by the FDA or comparable foreign regulatory and advisory bodies;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timing of market introduction of our vaccine candidates as well as competitive products;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cost in relation to alternatives;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availability of coverage and adequate reimbursement and pricing by third-party payors, including government authorities;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willingness of patients to pay out-of-pocket in the absence of coverage and adequate reimbursement by third-party payors, including government authorities;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relative convenience and ease of administration, including as compared to competitive vaccines and alternative treatments;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effectiveness of our sales and marketing efforts.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United States, the CDC and ACIP develop vaccine recommendations for both children and adults, as do professional societies and similar agencies around the world. To develop its recommendations, the ACIP forms working groups that gather, analyze and prepare scientific information. The ACIP also considers many of the factors above, as well as myriad additional factors such as the value of vaccination for the target population regarding the outcomes, health economic data and implementation issues. The ACIP recommendations are also made within categories, such as in an age group or a specified risk group. For example, the ACIP may determine that a preferred recommendation in a smaller child population may be more economical than recommending vaccinations for a larger adult population, which could adversely impact our market opportunity.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New pediatric vaccines that receive an ACIP preferred recommendation are almost universally adopted, and adult vaccines that receive a preferred recommendation are widely adopted. Recent changes to federal vaccine policy have introduced new uncertainties regarding the regulatory, legal, and reimbursement landscape for vaccines in the United States. Such changes have resulted in the American Academy of Pediatrics and other recommending bodies or organizations to generate their own recommended pediatric vaccine schedule. We may need to engage with additional professional societies or organizations to secure access for both adults and infants.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ACIP's composition and decisions could influence the pathway for new vaccines to receive a positive recommendation or the impact of a positive recommendation.</w:t>
      </w:r>
      <w:r>
        <w:rPr>
          <w:color w:val="000000"/>
        </w:rPr>
        <w:t xml:space="preserve"> </w:t>
      </w:r>
      <w:r>
        <w:rPr>
          <w:rFonts w:ascii="Times New Roman;serif" w:hAnsi="Times New Roman;serif"/>
          <w:b w:val="false"/>
          <w:color w:val="000000"/>
          <w:sz w:val="20"/>
        </w:rPr>
        <w:t xml:space="preserve">If our vaccine candidates are approved but fail to receive CDC, ACIP, comparable foreign authority, professional society, or other clinical recommendations, or fail to achieve market acceptance among physicians, healthcare providers, patients, third-party payors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lineRule="auto" w:line="220"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use our cell-free protein synthesis platform to expand our pipeline of vaccine candidates and develop marketable products.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in large part upon our ability to identify, develop and commercialize products based on our cell-free protein synthesis platform. In addition to our PCV franchise, our pipeline includes VAX-A1, a clinical vaccine candidate for Group A Streptococcus (“Group A Strep”), and VAX-GI, a preclinical vaccine candidate for dysentery and shigellosis. Our research programs may fail to identify potential vaccine candidates for clinical development for a number of reasons or we may focus our efforts and resources on potential programs or vaccine candidates that ultimately prove to be successful in a smaller subset of patients than expected or completely unsuccessful. In addition, we cannot provide any assurance that we will be able to successfully advance any of our existing or future vaccine candidates through the development process.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example, we announced in August 2025 that preclinical data for VAX-PG demonstrated an acceptable safety profile but not sufficient efficacy signals to support further investment, and we therefore discontinued further development of that candidate.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potential vaccine candidates may be shown to have harmful side effects, cause allergic reactions, or may have other characteristics that may make the products unmarketable or unlikely to receive marketing approval. If any of these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occur, we may be forced to abandon our development efforts for a program or for multiple programs, which would materially harm our business and could potentially cause us to cease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Even if we receive FDA approval to market additional vaccine candidates, we cannot provide assurance that any such vaccine candidates will be successfully commercialized, widely accepted in the marketplace or more effective than other commercially available alternatives. In addition, we believe current PCVs do not provide adequate coverage of the strains currently causing pneumococcal disease or those that previously caused pneumococcal disease. There has been a decrease in the incidence of disease attributable to the strains covered by existing vaccines but an increase in incidence attributable to non-covered strains that now cause most residual disease. Such change is driven by the void created when strains are taken out of circulation after widespread vaccination, which is a phenomenon known as serotype replacement. As a result of such change, broader spectrum PCVs are required to maintain protection against historically pathogenic strains while expanding coverage to current circulating and emerging strains. There can be no assurance that we will be able to develop higher-valent vaccines to address serotype replacement.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because VAX-31 and VAX-24 are our most advanced vaccine candidates, and because our other vaccine candidates are also based on our cell-free protein synthesis platform, if VAX-31 or VAX-24 encounter safety or immunogenicity problems, manufacturing problems, developmental delays, regulatory issues or other problems, our development plans and business would be significantly harmed.</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currently rely on third-party manufacturing and supply partners to supply raw materials and components for, and the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Efficient and scalable manufacturing and supply is a vital component of our business strategy. We do not own or operate any manufacturing facilities. We are designing and developing a manufacturing process that we believe can scale to address clinical and commercial vaccine supply. However, our assumptions as to our ability and our CMOs’ ability to produce vaccines at the scale needed for clinical development, manufacturing and commercial demand, in particular for our PCVs, may prove to be wrong. If we encounter substantial problems in our manufacturing processes or in our ability to scale to address commercial vaccine supply, our business would be materially adversely affected. Examples of potential issues related to our manufacturing processes or our ability to scale include difficulties with production costs, yields and quality control, including stability of the drug substance or drug product.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rely on third-party contract manufacturers to manufacture preclinical and clinical trial product materials and supplies for our needs. There can be no assurance that our preclinical and clinical development product supplies will not be limited or interrupted or be of satisfactory quality or continue to be available on acceptable terms. Over the course of the development and manufacturing of VAX-24, we previously encountered process-related matters that required us to make adjustments to our processes. For example, in 2020 we encountered such process-related matters during our drug substance manufacturing campaign for VAX-24 at Lonza. The cumulative impact of the time required to make adjustments to our processes led to a delay of our drug substance manufacturing campaign due to scheduling conflicts and capacity constraints at Lonza. There can be no assurance that we or Lonza will be able to successfully manufacture drug substances in a timely manner in the future, or at all. Such process changes and manufacturing delays have caused a change in our IND timelines in the past and future changes or delays could impact future timelines for VAX-31, VAX-24, or for our other product candidates. Since we utilize third-party manufacturers, we are also subject to their scheduling commitments for their other clients. Scheduling conflicts with Lonza’s other clients have contributed to manufacturing delays in the past, and there is no guarantee that future scheduling conflicts or related capacity constraints will not affect our manufacturing campaigns and related timelines. Certain aspects of our manufacturing process for our clinical trial product materials and supplies have also been adversely affected by macroeconomic factors in the past and may in the future be adversely affected by these and numerous other factors, including earthquakes and other natural or man-made disasters, economic downturns, equipment failures, labor shortages, health epidemics, power failures and significant changes in trade policies.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manufacturing process for a vaccine candidate is subject to FDA or comparable foreign regulatory authority review. Our suppliers and manufacturers must meet applicable manufacturing requirements and undergo rigorous facility and process validation tests and inspections required by regulatory authorities in order to comply with regulatory standards, such as cGMPs.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contract manufacturers cannot successfully manufacture material that conforms to our specifications and the strict regulatory requirements of the FDA or comparable foreign regulatory authorities, or if they cannot pass a pre-approval inspection, we may not be able to rely on their manufacturing facilities for the manufacture of elements of our vaccine candidates. Moreover, we do not control the manufacturing process at our contract manufacturers and are completely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dependent on them for compliance with current regulatory requirements. In the event that any of our manufacturers fail to comply with such requirements or to perform their obligations in relation to quality, timing or otherwise, or if our supply of components or other materials becomes limited or interrupted for other reasons, we may be forced to manufacture the materials ourselves or enter into an agreement with another third party, which we may not be able to do on reasonable terms, if at all. In some cases, the technical skills, raw materials or technology required to manufacture our vaccine candidates may be unique or proprietary to the original manufacturer or supplier, and we may have difficulty applying such skills or technology or sourcing such raw materials ourselves, or in transferring such skills, technology or raw materials to another third party, or such transfer may be subject to certain consent obligations and payment terms to the original manufacturer. These factors would increase our reliance on such manufacturer or require us to obtain a license from such manufacturer in order to enable us, or to have another third party, manufacture our vaccine candidates. If we are required to change manufacturers for any reason, we will be required to verify that the new manufacturer maintains facilities and procedures that comply with quality standards and with all applicable regulations and guidelines, and we may be required to repeat some of the development program and submit a supplement to our application. The delays associated with the verification of a new manufacturer could negatively affect our ability to develop vaccine candidates in a timely manner or within budget.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rely on third-party manufacturers and suppliers if we receive regulatory approval for any PCV or any other vaccine candidates. For example, in October 2023, we entered into a pre-commercial services and commercial manufacturing supply agreement (the “Lonza Commercial Manufacturing and Supply Agreement”) with Lonza, pursuant to which Lonza (i) constructed and built out a dedicated suite (“Suite”) at Lonza’s facilities in Visp, Switzerland to manufacture certain key components (including drug substance) for our proprietary PCV franchise and any other products or intermediates we may choose (collectively, the “Products”), and (ii) will maintain and operate the Suite (utilizing Lonza’s employees) to manufacture the Products as a service provided to us, including conducting related quality control and quality assurance operations. In September 2025, we also entered into a master services agreement with Patheon Manufacturing Services LLC, part of Thermo Fisher Scientific (collectively, “Thermo Fisher”), pursuant to which Thermo Fisher will commercially manufacture and supply drug product for our PCV candidates, if approved (the “Thermo Fisher Commercial Manufacturing and Supply Agreement”).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In November 2023, we entered into a manufacturing rights agreement (the “Manufacturing Rights Agreement”) with Sutro Biopharma pursuant to which we obtained exclusive rights to independently, or through certain third parties, develop, improve and manufacture cell-free extract for use in connection with our vaccine candidates. If the independent alternate CMO or the designated third parties are unable to provide a sufficient supply of cell-free extract, our third-party manufacturers may be delayed in their production of intermediate components, which may lead to delays of our drug substance manufacturing campaigns.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obtain additional or maintain third-party manufacturing for vaccine candidates, or to do so on commercially reasonable terms, we may not be able to develop and commercialize our vaccine candidates successfully. Our or a third party’s failure to execute on our manufacturing requirements and comply with cGMPs could adversely affect our business in a number of ways, including: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an inability to initiate or complete clinical trials of vaccine candidates under development; </w:t>
      </w:r>
    </w:p>
    <w:p>
      <w:pPr>
        <w:pStyle w:val="TextBody"/>
        <w:bidi w:val="0"/>
        <w:spacing w:lineRule="auto" w:line="276" w:before="100" w:after="283"/>
        <w:ind w:left="0" w:right="0" w:hanging="360"/>
        <w:jc w:val="left"/>
        <w:rPr/>
      </w:pPr>
      <w:r>
        <w:rPr>
          <w:color w:val="000000"/>
        </w:rPr>
        <w:t>•</w:t>
      </w:r>
      <w:r>
        <w:rPr>
          <w:rFonts w:ascii="Times New Roman;serif" w:hAnsi="Times New Roman;serif"/>
          <w:b w:val="false"/>
          <w:color w:val="000000"/>
          <w:sz w:val="20"/>
        </w:rPr>
        <w:t xml:space="preserve">delay in submitting regulatory applications, or receiving regulatory approvals, for our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subjecting third-party manufacturing facilities to additional inspections by regulatory authorities;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requirements to cease distribution or to recall batches of our vaccine candidates;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 the event of approval to market and commercialize a vaccine candidate, an inability to meet commercial demands for our products.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VAX-31, VAX-24 and our other vaccine candidates are also based on our cell-free protein synthesis platform, if our vaccine candidates encounter safety and immunogenicity or efficacy problems, manufacturing problems, developmental delays, regulatory issues or other problems, our development plans and business would be significantly harmed.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and our contract manufacturers may experience manufacturing difficulties due to limited vaccine manufacturing experience, resource constraints or as a result of labor disputes or unstable political environments. If we or our contract manufacturers were to encounter any of these difficulties, our ability to manufacture sufficient vaccine supply for our preclinical studies and clinical trials, or to provide product for patients once approved, would be jeopardized.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vaccine candidates may cause undesirable side effects or have other properties, including interactions with existing vaccine regimens, that could halt their clinical development, prevent their regulatory approval, limit their commercial potential or result in significant negative consequences.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Adverse effects or other undesirable or unacceptable side effects caused by our vaccine candidates could cause us or regulatory authorities to interrupt, delay or halt clinical trials and could result in a more restrictive label or the delay or denial of regulatory approval by the FDA or other comparable foreign regulatory authorities. Results of our clinical trials could reveal a high and unacceptable severity and prevalence of side effects or unexpected characteristics. In such an event, our clinical trials could be suspended or terminated, and the FDA or comparable foreign regulatory authorities could order us to cease further development of or deny approval of our vaccine candidates. Such side effects could also affect trial recruitment or the ability of enrolled subjects to complete the clinical trial or result in potential product liability claims. An independent data safety monitoring board ("DSMB") may also suspend or terminate a clinical trial at any time on various grounds, including a finding that the research volunteers are being exposed to an unacceptable health risk. Vaccine-related side effects could also affect recruitment or the ability of enrolled subjects to complete the trial or result in potential product liability claims. In addition, any vaccine to be approved in pediatric populations may need to undergo extensive vaccine-vaccine interference studies with the standard-of-care pediatric vaccine regimen. Further, to the extent field efficacy studies are required, prophylactic vaccines typically require clinical testing in thousands to tens of thousands of healthy volunteers to define an approvable benefit-risk profile. The need to show a high degree of safety and tolerability when dosing healthy individuals could result in rare and even spurious safety findings, negatively impacting a program prior to or after commercial launch. Any of these occurrences may harm our business, financial condition and prospects significantly.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Negative developments and negative public opinion of vaccines or new technologies on which we rely may damage public perception of our vaccine candidates or adversely affect our ability to conduct our business or obtain regulatory approvals for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Negative developments and negative public opinion of vaccines or new or existing technologies on which we rely may damage public perception of our vaccine candidates or adversely affect our ability to conduct our business or obtain regulatory approvals for our vaccine candidates. Public perception may be influenced by claims that vaccines are unsafe, and products incorporating new vaccine technology may not gain the acceptance of the public or the medical community. Adverse public attitudes may negatively impact our ability to enroll subjects in clinical trials. Moreover, our success will depend upon physicians prescribing, and their patients being willing to receive, our vaccine candidates in lieu of, or in addition to, existing, more familiar vaccines for which greater clinical data may be available.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Increases in negative perceptions of vaccines or the technologies that we rely on by regulators may result in the FDA not approving our products or, if approved, fewer physicians prescribing our products.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file IND applications to commence clinical trials on the timelines we expect, and even if we are able to, the FDA may not permit us to proceed.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timing of submitting the IND applications for our product candidates is dependent on preclinical and manufacturing success, and if we experience additional delays, we may fail to meet our anticipated timelines. In addition, we cannot be sure that submission of an IND application or IND application amendment will result in the FDA allowing testing and clinical trials to begin, or that, once begun, issues will not arise that suspend or terminate such clinical trials. Additionally, even if regulatory authorities agree with the design and implementation of the clinical trials set forth in an IND or clinical trial application, we cannot guarantee that such regulatory authorities will not change their requirements in the future.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encounter substantial delays in our clinical trials or may not be able to conduct our trials on the timelines we expect.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Clinical testing is expensive, time consuming and subject to uncertainty. We cannot guarantee that any clinical studies will be conducted as planned or completed on schedule, if at all. Even if these trials begin as planned, issues may arise that could suspend or terminate such clinical trials. A failure of one or more clinical studies can occur at any stage of testing, and our future clinical studies may not be successful. Events that may prevent successful or timely completion of clinical development include, but are not limited to: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inability to generate sufficient preclinical, toxicology or other in vivo or in vitro data to support the initiation of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sufficiently developing, characterizing or controlling a manufacturing process suitable for advanced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reaching a consensus with regulatory agencies on study design or clinical or regulatory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reaching agreement on acceptable terms with prospective CROs and clinical study sites, the terms of which can be subject to extensive negotiation and may vary significantly among different CROs and clinical study sites;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obtaining required institutional review board (“IRB”) approval at each clinical study site;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imposition of a temporary or permanent clinical hold by regulatory agencies for a number of reasons, including after review of an IND application or amendment, or equivalent application or amendment; as a result of a new safety finding that presents unreasonable risk to clinical trial participants; a negative finding from an inspection of our clinical study operations or study sites; developments on trials conducted by competitors for related technology that raise FDA concerns about risk to patients of the technology broadly; or if the FDA finds that the investigational protocol or plan is clearly deficient to meet its stated objectives;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adding a sufficient number of trial sites and recruiting volunteers to participate in our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failure by our CROs, other third parties or us, to adhere to clinical study requirements;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failure to perform in accordance with the FDA’s good clinical practice (“GCP”) requirements or applicable regulatory guidelines in other jurisdictions;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transfer of manufacturing processes to any new CMO or our own manufacturing facilities or any other development or commercialization partner for the manufacture of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having subjects complete participation in a study or return for post-injection follow-up;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subjects dropping out of a study;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occurrence of side effects associated with our vaccine candidates that are viewed to outweigh their potential benefits;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changes in regulatory requirements and guidance that require amending or submitting new clinical protocols;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changes in the standard-of-care on which a clinical development plan was based, which may require new or additional trials;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cost of clinical trials of our vaccine candidates being greater than we anticipate;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clinical studies of our vaccine candidates producing negative or inconclusive results, which may result in our deciding, or regulators requiring us, to conduct additional clinical studies or abandon product development programs;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or failure to secure supply agreements with suitable raw material suppliers, or any failures by suppliers to meet our quantity or quality requirements for necessary raw materials;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delays in manufacturing, testing, releasing, validating or importing/exporting sufficient stable quantities of our vaccine candidates for use in clinical studies or the inability to do any of the foregoing.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inability to successfully complete preclinical and clinical development could result in additional costs to us or impair our ability to generate revenue. In addition, if we make manufacturing or formulation changes to our vaccine candidates, we may be required to or we may elect to conduct additional studies to bridge our modified vaccine candidates to earlier versions. Clinical trial delays could also shorten any periods during which our products have patent protection and may allow our competitors to bring products to market before we do, which could impair our ability to successfully commercialize our vaccine candidates and may harm our business and results of operations.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encounter difficulties enrolling subjects in any clinical trials we may conduct, including any field efficacy trials that may be required, our clinical development activities could be delayed or otherwise adversely affected.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difficulties in enrolling subjects in any clinical trials we may conduct for a variety of reasons. The timely completion of clinical trials in accordance with their protocols depends, among other things, on our ability to enroll a sufficient number of subjects who remain in the study until its conclusion. The enrollment of subjects depends on many factors, including, but not limited to: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the eligibility and exclusion criteria defined in the protocol;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size of the population required for analysis of the trial’s primary endpoints;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proximity of volunteers to study sites;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design of the trial;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ability to recruit clinical trial investigators with the appropriate competencies and experience;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ability to obtain and maintain subject consents;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ability to monitor volunteers adequately during and after injection;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the risk that volunteers enrolled in clinical trials will drop out of the trials before the injection of our vaccine candidates or trial completion; and</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the risks and disruptions related to patient and physician investigator recruitment and retention and study site initiation and clinical trial activities.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VAX-31 End-of-Phase 2 meeting with the FDA, we believe there is confirmation that the planned immunogenicity analyses are sufficient to support licensure, and an efficacy study is therefore not required. In the event that we are required to conduct any field efficacy studies for VAX-31 or any of our other product candidates, enrollment of a sufficient number of subjects may require additional time and resources given widespread vaccination rates in the United States, particularly in the pediatric population. As a result, we may be required to conduct any such trials outside the United States, which could cause additional complexity and delay. Delays in enrollment may result in increased costs or may affect the timing or outcome of any clinical trials we may conduct, which could prevent completion of these trials and adversely affect our ability to advance the development of our vaccine candidates.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data from our preclinical or clinical trials. Interim topline data from clinical trials that we may complete are subject to the risk that one or more of the clinical outcomes may materially change as more patient data become available. We also make assumptions, estimations, calculations and conclusions as part of our analyses of data, and we may not have received or had the opportunity to fully and carefully evaluate all data when we publish such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may publish. As a result, interim and preliminary data should be viewed with caution until the final data are available. Adverse differences between preliminary or interim data and final data could significantly harm our business prospects. Additionally, disclosure of interim topline or preliminary data by us or by our competitors has and may continue to result in volatility in the price of our common stock.</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vaccine candidate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vaccine candidate or our business. If the topline data that we report differ from final results, or if others, including regulatory authorities, disagree with the conclusions reached, our ability to obtain approval for, and commercialize, vaccine candidates may be harmed, which could significantly harm our business prospects.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in the past and may in the future seek breakthrough therapy designation ("BTD") or Fast Track designation by the FDA for one or more of our vaccine candidates, but we may not receive the designations we seek, and even if we do, such designation may not lead to a faster development or regulatory review or approval process and it does not increase the likelihood that our vaccine candidates will receive marketing approval.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We have in the past and may in the future seek BTD or Fast Track designation for some of our vaccine candidates. For instance, in August 2022 we announced that the FDA granted Fast Track designation to VAX-24 in adults ages 18 and older, in January 2023 we announced that the FDA granted a BTD for VAX-24 for the prevention of IPD in adults, in November 2024 we announced that the FDA granted a BTD for VAX-31 for the prevention of IPD in adults, and in August 2025 we announced that the FDA extended the BTD for VAX-31 to include the prevention of pneumonia caused by </w:t>
      </w:r>
      <w:r>
        <w:rPr>
          <w:rFonts w:ascii="Times New Roman;serif" w:hAnsi="Times New Roman;serif"/>
          <w:b w:val="false"/>
          <w:i/>
          <w:color w:val="000000"/>
          <w:sz w:val="20"/>
        </w:rPr>
        <w:t>Streptococcus pneumoniae</w:t>
      </w:r>
      <w:r>
        <w:rPr>
          <w:color w:val="000000"/>
        </w:rPr>
        <w:t xml:space="preserve"> </w:t>
      </w:r>
      <w:r>
        <w:rPr>
          <w:rFonts w:ascii="Times New Roman;serif" w:hAnsi="Times New Roman;serif"/>
          <w:b w:val="false"/>
          <w:color w:val="000000"/>
          <w:sz w:val="20"/>
        </w:rPr>
        <w:t xml:space="preserve">in adults. A sponsor may seek FDA designation of its vaccine candidate as a breakthrough therapy if the vaccine candidate is intended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vaccines that have been designated as Breakthrough Therapies, the FDA may take actions to expedite the development and review of the application, and interaction and communication between the FDA and the sponsor of the trial can help to identify the most efficient path for clinical development while minimizing the number of patients placed in ineffective control regimens.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vaccine designated as a breakthrough therapy by the FDA may also be eligible for expedited review and approval. If a vaccine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vaccine candidate is eligible for this designation, we cannot assure you that the FDA would decide to grant it.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obtain Fast Track designation for one or more of our vaccine candidates, we may not experience a faster development process, review or approval compared to non-expedited FDA review procedures. In addition, the FDA may withdraw Fast Track designation from any of our vaccine candidates that may receive the designation in the future, if it believes that the designation is no longer supported. Fast Track designation alone does not guarantee qualification for the FDA’s Priority Review procedures.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to grant a BTD or Fast Track designation is within the discretion of the FDA. Accordingly, even if we believe one of our vaccine candidates meets the criteria for these designations, the FDA may disagree and instead determine not to make such designation. In any event, the receipt of either of these designations for a vaccine candidate may not result in a faster development process, review or approval compared to vaccine candidates considered for approval under non-expedited FDA review procedures and does not assure ultimate approval by the FDA. In addition, even when one or more of our vaccine candidates qualify for either of these designations, the FDA may later decide that the vaccine candidate no longer meets the conditions for qualification and rescind the designations.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only recently begun to build our marketing and sales organization, and as an organization we have never marketed any products. If we are unable to further establish marketing and sales capabilities or enter into agreements with third parties to market and sell our vaccine candidates, we may not be able to generate product revenue.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only recently begun to build our sales, marketing and distribution organization and, as a company, have never marketed any products. Although we have begun hiring sales and marketing personnel, we have not yet established a fully developed organization in these areas. Continuing to develop these capabilities will require significant expenses, management resources and time, and we will have to compete with other pharmaceutical and biotechnology companies to recruit, hire, train and retain marketing and sales personnel.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or decide not to further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vaccine candidates ourselves. We also face competition in our search for third parties to assist us with the sales and marketing efforts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we will be able to further develop in-house sales and distribution capabilities or establish or maintain relationships with third-party collaborators to commercialize any product that receives regulatory approval in the United States or overseas. If we are unable to further develop in-house sales and distribution capabilities or enter into relationships with third-party collaborators on acceptable terms or at all, we may not be able to successfully commercialize our products. If we are not successful in commercializing our products or any future products, either on our own or through arrangements with one or more third parties, we may not be able to generate any future product revenue and we would incur significant additional losses.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A variety of risks associated with our current and potential international operations and collaborations could materially adversely affect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we pursue approval and commercialization for our vaccine candidates overseas and conduct CMC and other operations overseas, we will be subject to additional risks related to operating in foreign countries, including, but not limited to: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differing regulatory requirements in foreign countries;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significant changes in trade policies, price and exchange controls and other regulatory requirements;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increased difficulties in managing the logistics and transportation of storing and shipping vaccine candidates abroad;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import and export requirements and restrictions;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differing and changing data protection and privacy regimes and requirements;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economic weakness, including inflation and interest rates, or political instability in particular foreign economies and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compliance with tax, employment, immigration and labor laws for employees living or traveling abroad;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foreign taxes, including withholding of payroll taxes;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difficulties staffing and managing foreign operations;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workforce uncertainty in countries where labor unrest is more common than in the United States;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differing payor reimbursement regimes, governmental payors or patient self-pay systems and price controls;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potential liability under the U.S. Foreign Corrupt Practices Act of 1977, as amended, or comparable foreign regulations;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business interruptions resulting from geopolitical actions, including war and terrorism.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example, our agreements with Lonza are denominated in Swiss Franc (“CHF”). Fluctuations in the exchange rate for CHF may increase our costs and affect our operating results.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risks associated with our international operations and our collaborations with Lonza, based in Switzerland, may materially adversely affect our ability to attain or maintain profitable operations.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highly dependent on our key personnel, and if we are not able to retain these members of our management team or recruit and retain highly qualified personnel, we may not be able to successfully implement our business strategy.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our President and Chief Financial Officer, our Vice President of Research and our Executive Vice President and Chief Operating Officer. The loss of the services of any of our executive officers, other key employees and other scientific and medical advisors, and our inability to find suitable replacements, could result in delays in product development and harm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induce valuable employees to remain at our company, in addition to salary and cash incentives, we have provided stock options and restricted stock units (“RSUs”) that vest over time. The value to employees of stock options and RSUs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and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grown rapidly and will need to continue to grow the size of our organization, and we may experience difficulties in managing this growth.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our discovery, development, manufacturing and commercialization plans and strategies develop, we have rapidly expanded our employee base and expect to continue to add managerial, operational, sales, research and development, marketing, financial and other personnel. Current and future growth imposes significant added responsibilities on members of management, including, but not limited to: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identifying, recruiting, integrating, maintaining and motivating additional employees;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managing our internal development efforts effectively, including the clinical and FDA review process for our vaccine candidates, while complying with our contractual obligations to contractors and other third parties;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improving our operational, financial and management controls, reporting systems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before="60" w:after="283"/>
        <w:jc w:val="left"/>
        <w:rPr/>
      </w:pPr>
      <w:r>
        <w:rPr/>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commercialize our vaccine candidates will depend, in part, on our ability to effectively manage our growth. Our management may also have to divert a disproportionate amount of its attention away from day-to-day activities in order to devote a substantial amount of time to managing these growth activities.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commercialize our vaccine candidates and, accordingly, may not achieve our research, development, manufacturing and commercialization goals.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regulatory approval of our vaccine candidates in one jurisdiction does not mean that we will be successful in obtaining regulatory approval of our vaccine candidates in other jurisdictions.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Obtaining and maintaining regulatory approval of our vaccine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vaccine candidate, comparable regulatory authorities in foreign jurisdictions must also approve the manufacturing, marketing and promotion of the vaccine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vaccine candidate must be approved for reimbursement before it can be approved for sale in that jurisdiction. In some cases, the price that we intend to charge for our products is also subject to approval.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submit marketing applications in other countries. Regulatory authorities in jurisdictions outside of the United States have requirements for approval of vaccine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vaccine candidates will be harmed.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form or seek strategic alliances or enter into additional licensing arrangements in the future, and we may not realize the benefits of such alliances or licensing arrangements.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form or seek strategic alliances, create joint ventures or collaborations or enter into additional licensing arrangements with third parties that we believe will complement or augment our discovery, development, manufacturing and commercialization efforts with respect to our vaccine candidates and any future vaccine candidates that we may seek to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vaccine candidates because they may be deemed to be at too early of a stage of development for collaborative effort, and third parties may not view our vaccine candidates as having the requisite potential to demonstrate safety, immunogenicity or efficacy. Any delays in entering into new strategic partnership agreements related to our vaccine candidates could delay the development, manufacturing and commercialization of our vaccine candidates in certain geographies for certain indications, which would harm our business prospects, financial condition and results of operations.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such transaction. </w:t>
      </w:r>
    </w:p>
    <w:p>
      <w:pPr>
        <w:pStyle w:val="TextBody"/>
        <w:bidi w:val="0"/>
        <w:spacing w:lineRule="auto" w:line="216"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from any “catch up” opportunity may decline over time as more of the patient population is vaccinated.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initially seek approval of VAX-31 in adults. If approved, we believe it may have the potential to serve as a “catch up” or booster to those adults who have previously received PPSV23 or a lower-valent PCV. Previous vaccines with a “catch up” opportunity have seen a high initial capture rate, but sales may decline over time as the number of individuals who remain unvaccinated with the new vaccine, and eligible for “catch up” opportunities, declines. Such decline could adversely affect our revenue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our information technology systems or those of the third parties upon which we rely, are or were compromised, we could experience adverse consequences resulting from such compromise, including, but not limited to significant fines or other liability; regulatory investigations or actions; disruptions of our development programs or business operations; harms to our reputation, and other adverse consequences.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upon which we rely collect, receive, use, retain, safeguard, disclose, share, transfer, make accessible, dispose of, transmit or otherwise process proprietary, confidential and sensitive information, including personal data (including, key-coded data, health information, data we collect about trial participants in connection with clinical trials and other special categories of personal data), intellectual property, trade secrets, and proprietary business information owned or controlled by ourselves or other parties, and other sensitive third-party data (collectively, “Sensitive Information”).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third-party service providers and subprocessors, including our CROs, to help us operate our business and engage in processing on our behalf in a variety of contexts, including, without limitation, cloud-based infrastructure, data center facilities, encryption and authentication technology, employee email and other functions. We may also share Sensitive Information with our partners or other third parties in connection with our business. Our ability to monitor these third parties’ cybersecurity practices is limited, and these third parties may not have adequate information security measures in place. If our third-party service providers experience a cybersecurity incident or other interruption, including a system outage,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Cyberattacks and cybersecurity incidents, system outages, malicious internet-based activity, online and offline fraud, and other similar activities threaten the confidentiality, integrity, and availability of our Sensitive Information and our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(through theft or misuse); and sophisticated nation-state and nation-state 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upon which we rely are subject to a variety of evolving threats, including, but not limited to, software bugs; malicious code (such as viruses and worms); social-engineering attacks (including through deep fakes, which may be increasingly more difficult to identify as a fake, and phishing attacks); employee error, theft or misuse; denial-of-service attacks (such as credential stuffing); malware (including as a result of advanced persistent threat intrusions); natural disasters; terrorism; war; telecommunication and electrical failures; supply-chain attacks; ransomware attacks; attacks enhanced or facilitated by artificial intelligence (“AI”); and other similar threats. In particular, severe ransomware attacks, including those perpetrated by organized criminal threat actors, nation-states, and nation-state-supported actors, are becoming increasingly prevalent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We may also be the subject of server malfunction, software or hardware failures, supply-chain cyberattacks, loss of data or other computer assets and other similar issues.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Remote and hybrid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cybersecurity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be able to detect and remediate all such vulnerabilities, including on a timely basis. Despite our efforts to identify and remediate vulnerabilities, if any, in our information technology systems, our efforts may not be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we may experience delays in developing and deploying remedial measures designed to address any such identified vulnerabilities. Vulnerabilities could be exploited and result in a cybersecurity incident.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a cybersecurity incident or other interruption. A cybersecurity incident or other interruption could result in unauthorized, unlawful, or accidental acquisition, modification, destruction, loss, alteration, encryption, disclosure of, or access to data and could disrupt our ability (and that of third parties upon whom we rely) to provide our products or operate our business.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be required to expend significant resources, fundamentally change our business activities and practices, or modify our operations, including our clinical trial activities, or information technology in an effort to protect against cybersecurity incidents or other security breaches and to mitigate, detect and remediate actual or potential vulnerabilities. Certain data privacy and security obligations may require us to implement and maintain specific security measures or industry-standard or reasonable security measures to protect our information technology systems and Sensitive Information. If we (or a third party upon which we rely) experience a cybersecurity incident or are perceived to have experienced a cybersecurity incident, we may experience adverse consequences, including interruptions in our operations, which could result in a disruption of our development programs and our business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manufacturing and commercialization of our vaccine candidates could be delayed. Furthermore, consequences from an actual or perceived security breach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Cybersecurity incidents and attendant consequences may cause customers to stop using our platform/products/services, deter new customers from using our products, and negatively impact our ability to grow and operate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applicable data privacy and security obligations, including, without limitation, laws, regulations, guidance as well as our internal and external policies and our contractual obligations, may require us to notify relevant stakeholders of cybersecurity incidents or other security breaches, including affected individuals, partners, collaborators, regulators, law enforcement agencies, credit reporting agencies and others. Such disclosures are costly, and the disclosure or the failure to comply with such requirements could lead to litigation or other liability, fines, harm to our reputation, significant costs, or other materially adverse effects. There can be no assurance that any limitations or exclusions of liability in our contracts would be enforceable or adequate or protect us from liability or damages.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sure that our insurance coverage, if any, will be adequate or otherwise protect us from or adequately mitigate liabilities or damages with respect to claims, costs, expenses, litigation, fines, penalties, business loss, data loss, regulatory actions or other materially adverse impacts arising out of our processing activities, privacy and security practices, or security breaches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result in substantial cost increase or prevent us from obtaining insurance on acceptable terms.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experiencing a cybersecurity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Information of ours, our vendors, or our partners could be leaked, disclosed, or revealed as a result of or in connection with our employees’, personnel’s, or vendors’ use of generative AI technologies.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Use of artificial intelligence in our operations could result in reputational or competitive harm and legal or regulatory liability.</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incorporated, and may continue to incorporate, certain AI solutions into our operations, and the use of AI involves various risks and challenges that could adversely affect our business. The development and deployment of AI systems involve inherent technical complexities and uncertainties, and our AI systems may encounter unexpected technical difficulties, limitations or errors, including inaccuracies in data processing or flawed algorithms. In addition, our competitors or other third parties may incorporate AI into their operations and products more quickly or more successfully than us, which could impair our ability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use of AI applications, including large language models, may in the future result in cybersecurity incidents that implicate the personal data of end users of such applications. Any such cybersecurity incidents related to our use of AI applications could adversely affect our business and reputation. AI also presents emerging ethical issues, and if our use of AI becomes controversial, we may experience brand or reputational harm, competitive harm, regulatory scrutiny or legal liability. In addition, use of personal data in generative AI technologies is subject to various privacy laws and other privacy obligations.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Governments have passed and are likely to pass additional laws regulating generative AI. The introduction of AI technologies into our operations may result in new or enhanced governmental or regulatory scrutiny, litigation, confidentiality or security risks or other complications that could adversely affect our business. The regulatory landscape governing AI technologies is evolving rapidly, and changes in laws, regulations or enforcement practices may impose new compliance requirements, restrict certain AI applications or increase our regulatory obligations, which could negatively impact our business.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Natural or man-made disasters or business disruptions could seriously harm our future revenue and financial condition and increase our costs and expenses.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those of our CMOs,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impact of climate change may increase these risks due to changes in weather patterns, such as increases in storm intensity, sea-level rise, melting of permafrost and temperature extremes on facilities or operations. The occurrence of any of these business disruptions could seriously harm our operations and financial condition and increase our costs and expenses.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manufacture our vaccine candidates could be disrupted if our operations or those of our suppliers are affected by a man-made or natural disaster or other business interruption.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product liability lawsuits are brought against us, we may incur substantial liabilities and may be required to limit commercialization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as a result of the clinical testing of our vaccine candidates and will face an even greater risk if we commercialize any products. For example, we may be sued if our vaccine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vaccine candidates. Even successful defense would require significant financial and management resources. Regardless of the merits or eventual outcome, liability claims may result in: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decreased demand for our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injury to our reputation;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initiation of investigations by regulators;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costs to defend the related litigation;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 diversion of management’s time and our resources;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product recalls, withdrawals or labeling, marketing or promotional restrictions;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exhaustion of any available insurance and our capital resources;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inability to commercialize any vaccine candidate;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 decline in our share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Assuming we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principal investigators, consultants and commercial partners. Misconduct by these parties could include intentional failures, reckless and/or negligent conduct or unauthorized activities that violate (i) the laws and regulations of the FDA and other regulatory authorities, including those laws requiring the reporting of true, complete and accurate information to such authorities, (ii) manufacturing standards, (iii) federal and state data privacy, security, fraud and abuse and other healthcare laws and regulations in the United States and abroad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tax laws or tax rulings could affect our financial position.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United States, and contains a wide range of tax reform provisions, including extending and modifying certain key Tax Act provisions, such as 100% bonus depreciation and the business interest expense limitation. Additionally, the OBBBA repealed mandatory capitalization and amortization of domestic R&amp;D expenses, reverting to the immediate expensing of R&amp;D expenditures for tax years beginning in 2025. Further, the OBBBA provided for an election to deduct the remaining unamortized domestic R&amp;D expense as of December 31, 2024, either entirely in 2025 or over two years, in 2025 and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American Rescue Plan Act (“ARPA”) was signed on March 11, 2021. One of the provisions of the ARPA included a modification to the provision limiting the deductibility of executive compensation expense, expanding the definition of covered employees to include the top five highest compensated employees beyond the CEO, CFO and three highest paid officers. The provision was further modified by the OBBBA, which made the provision applicable to publicly traded companies and all members of their controlled group (as opposed to members of the affiliated group, as prescribed under prior law). All changes are effective for tax years beginning after December 31, 2025. While we do not believe that these modifications will have a material impact on our income tax provision currently, we will continue to monitor this provision.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unable to predict what tax changes may be enacted in the future or what effect such changes would have on our business, but such changes could affect our effective tax rate and could have an adverse effect on our overall tax position in the future, along with increasing the complexity, burden, and cost of tax compliance.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("NOL") carryforwards and certain other tax attributes may be limited.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substantial losses since inception and do not expect to become profitable in the near future, if ever. As of December 31, 2025, we had federal and state NOL carryforwards of $796.1 million and $1,907.7 million,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and state loss carryforwards, except the federal loss carryforward arising in tax years beginning after December 31, 2017, begin to expire in 2034 unless previously utilized. Federal NOLs arising in tax years beginning after December 31, 2017 have an indefinite carryforward period and do not expire. As of December 31, 2025, we also had federal and state research credit carryforwards of $40.3 million and $12.3 million, respectively. The federal research and development tax credit carryforwards expire beginning in 2039 unless previously utilized, and the state research and development tax credits can be carried forward indefinitely. In general, a corporation that undergoes an “ownership change” (generally defined as a greater than 50 percentage point change (by value) in its equity ownership by certain stockholders over a rolling three-year period) is subject to limitations on its ability to utilize its pre-change NOLs to offset future taxable income. We have experienced ownership changes in the past. There were no ownership changes identified in 2025, as such we have determined that no federal research credits will expire unutilized or are excluded from our research credits carryforwards as of December 31, 2025. Subsequent ownership changes may affect the limitation in future years. As a result, if, and to the extent that we earn net taxable income, our ability to use our pre-change NOLs to offset such taxable income may be subject to limitations.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insurance policies may be inadequate and potentially expose us to unrecoverable risks.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intend to maintain product liability insurance coverage, such insurance may not be adequate to cover all liabilities that we may incur. We anticipate that we will need to increase our insurance coverage each time we commence a clinical trial and if we successfully commercialize any vaccine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Conditions in the insurance markets relating to nearly all areas of traditional corporate insurance change rapidly and may result in higher premium costs, higher policy deductibles and lower coverage limits. For some risks, we may not have or maintain insurance coverage because of cost or availability.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Reliance on Third Parties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and will continue to rely on third parties to conduct our preclinical studies and clinical trials. If these third parties do not successfully carry out their contractual duties or meet expected deadlines, we may not be able to obtain regulatory approval of or commercialize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do not have the ability to independently conduct preclinical or clinical studies that comply with the regulatory requirements known as good laboratory practices and GCP. The FDA and regulatory authorities in other jurisdictions require us to comply with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independent investigators and collaborators, such as universities, medical institutions, CROs and strategic partners, to conduct our preclinical and clinical trials under agreements with us.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and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vaccine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There can be no assurance that, upon inspection, such regulatory authorities will determine that any of our clinical trials comply with the GCP regulations. In addition, our clinical trials must be conducted with biologic product produced under cGMPs and will require a large number of test subjects. Our failure or any failure by these third parties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third parties conducting our preclinical studies and clinical trials will not be our employees and, except for remedies available to us under our agreements with such third parties, we cannot control whether or not they devote sufficient time and resources to our programs.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vaccine candidates. As a result, our financial results and the commercial prospects for our vaccine candidates would be harmed, our costs could increase and our ability to generate revenue could be delayed.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relationships with trial sites or any CRO that we may use in the future terminate,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 parties to supply raw materials and manufacture our preclinical and clinical product supplies of our vaccine candidates, and expect to rely on third parties to supply raw materials and produce and process our vaccine candidates, if approved. The loss of these suppliers or their failure to comply with applicable regulatory requirements or provide us with sufficient quantities at acceptable quality levels or prices, or at all, would materially and adversely affect our business.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infrastructure or capability internally to manufacture supplies for our vaccine candidates or the materials necessary to produce our vaccine candidates for use in the conduct of our preclinical studies or clinical trials, and we lack the internal resources and the capability to manufacture any of our vaccine candidates on a preclinical, clinical or commercial scale. Pursuant to the Manufacturing Rights Agreement with Sutro Biopharma, we obtained exclusive rights to independently, or through certain third parties, develop, improve and manufacture cell-free extract for use in connection with our vaccine candidates. We have engaged Lonza to perform manufacturing process development and clinical manufacture and supply of components for our PCV candidates. Lonza is currently in the process of manufacturing certain components of our vaccine candidates on a clinical scale. In addition, we entered into the Lonza Commercial Manufacturing and Supply Agreement pursuant to which Lonza (i) constructed and built out a Suite at Lonza’s facilities in Visp, Switzerland to manufacture the Products, and (ii) will maintain and operate the Suite (utilizing Lonza’s employees) to manufacture the Products as a service provided to us. In September 2025, we also entered into the Thermo Fisher Commercial Manufacturing and Supply Agreement, pursuant to which Thermo Fisher will commercially manufacture and supply drug product for our PCV candidates, if approved.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yet caused our vaccine candidates to be manufactured on a commercial scale and may not be able to achieve commercial scale manufacturing and may be unable to create an inventory of mass-produced product to satisfy demands for any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yet have sufficient information to reliably estimate the cost of the commercial manufacturing and processing of our vaccine candidates, and the actual cost to manufacture and process our vaccine candidates could materially and adversely affect the commercial viability of our vaccine candidates. As a result, we may never be able to develop a commercially viable product.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anticipated reliance on a limited number of third-party suppliers and manufacturers exposes us to the following risks, among others: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third-party suppliers and manufacturers might be unable to timely formulate and manufacture or supply raw materials for our vaccine candidates or produce the quantity and quality required to meet our clinical and commercial needs, if any. For example, if the independent alternate CMO or the designated third parties under the Manufacturing Rights Agreement are unable to provide a sufficient supply of cell-free extract, our third-party manufacturers may be delayed in their production of intermediate components, which may lead to delays of our drug substance manufacturing campaigns. Additionally, if Lonza is unable to identify a timely or manageable solution for handling cell-free extract during our clinical studies, such studies may be delayed, and we will incur additional costs;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Contract manufacturers may not be able to execute our manufacturing procedures appropriately;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future contract manufacturers may not perform as agreed or may not remain in the contract manufacturing business for the time required to supply our clinical trials or to successfully produce, store and distribute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We may not own, or may have to share, the intellectual property rights to any improvements made by our third-party manufacturers in the manufacturing process for our products;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third-party suppliers and manufacturers could breach or terminate their agreement with us.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these risks could delay our clinical trials, the approval, if any, of our vaccine candidates by the FDA or the commercialization of our vaccine candidates, or result in higher costs or deprive us of potential product revenue. In addition, we will rely on third parties to perform release tests on our vaccine candidates prior to delivery to patients. If these tests are not appropriately done and test data are not reliable, patients could be put at risk of serious harm.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or our third-party suppliers use hazardous, non-hazardous, biological or other materials in a manner that causes injury or violates applicable law, we may be liable for damages.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Although we believe that we and our suppliers’ procedures for using, handling, storing and disposing of these materials comply with legally prescribed standards, we and our suppliers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Government Regulation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FDA regulatory approval process is lengthy and time-consuming, and we may experience significant delays in the clinical development and regulatory approval of our vaccine candidates. </w:t>
      </w:r>
    </w:p>
    <w:p>
      <w:pPr>
        <w:pStyle w:val="TextBody"/>
        <w:bidi w:val="0"/>
        <w:spacing w:before="24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research, testing, manufacturing, labeling, approval, selling, import, export, marketing and distribution of drug products, including biologics such as conjugate vaccines, are subject to extensive regulation by the FDA and other regulatory authorities in the United States. We expect that our vaccine candidates will be regulated by the FDA as biologics. We are not permitted to market any biological drug product in the United States until we receive approval of a BLA from the FDA. We have not previously submitted a BLA to the FDA, or similar requests for marketing authorization to comparable foreign regulatory authorities. A BLA must include extensive preclinical and clinical data and supporting information to establish the vaccine candidate’s safety, purity, and potency for each desired indication. The BLA must also include significant information regarding the CMC for the product, including with respect to chain of identity and chain of custody of the product and various comparability assessments. The FDA’s review of our BLA may be significantly delayed if the FDA views that the CMC information included in our submission is not adequate or requests additional CMC information or data.</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Clinical testing is expensive and can take many years to complete, and its outcome is inherently uncertain. Failure can occur at any time during the clinical trial process. The results of preclinical studies of our vaccine candidates may not be predictive of the results of early-stage or later-stage clinical trials, and results of early clinical trials of our vaccine candidates may not be predictive of the results of later-stage clinical trials. The results of clinical trials in one set of patients or indications may not be predictive of those obtained in another. In some instances, there can be significant variability in safety and immunogenicity or efficacy results between different clinical trials of the same vaccine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Vaccine candidates in later stages of clinical trials may fail to show the desired safety and immunogenicity or efficacy profile despite having progressed through preclinical studies and initial clinical trials. A number of companies in the biopharmaceutical industry have suffered significant setbacks in advanced clinical trials due to lack of immunogenicity or efficacy or unacceptable safety issues, notwithstanding promising results in earlier trials. Most vaccine candidates that begin clinical trials are never approved by regulatory authorities for commercialization. In addition, even if such clinical trials are successfully completed, we cannot guarantee that the FDA or foreign regulatory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 interpret the results as we do, and more trials could be required before we submit a BLA or other marketing application.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experience delays in completing planned clinical trials for a variety of reasons, including delays related to: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obtaining regulatory authorization to begin a trial, if applicable;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availability of financial resources to commence and complete the planned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reaching agreement on acceptable terms with prospective CROs and clinical trial sites, the terms of which can be subject to extensive negotiation and may vary significantly among different CROs and trial sites;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obtaining approval at each clinical trial site by an independent IRB;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recruiting suitable volunteers to participate in and complete a trial;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clinical trial sites deviating from trial protocol or dropping out of a trial;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addressing any safety concerns that arise during the course of a trial;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adding new clinical trial sites; or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manufacturing sufficient quantities of qualified materials under cGMPs and applying them for use in clinical trials.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could also experience delays if physicians encounter unresolved ethical issues associated with enrolling patients in clinical trials of our vaccine candidates in lieu of using existing vaccines that have established safety and immunogenicity or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vaccine candidate, changes in governmental regulations or administrative actions, lack of adequate funding to continue the clinical trial or based on a recommendation by the DSMB. If we experience termination of, or delays in the completion of, any clinical trial of our vaccine candidates, the commercial prospects for our vaccine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 factors that cause, or lead to, a delay in the commencement or completion of clinical trials may ultimately lead to the denial of regulatory approval of our vaccine candidates.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FDA may disagree with our regulatory plan, and we may fail to obtain regulatory approval of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general approach for FDA approval of a new biologic or drug is for the sponsor to provide dispositive data from two Phase 3 clinical trials of the relevant biologic or drug in the relevant patient population. Phase 3 clinical trials typically involve thousands of patients, have significant costs and are time consuming. While we are still in the process of having discussions with the FDA regarding our Phase 3 regulatory plans, including discussions regarding our CMC strategy, the FDA may ultimately disagree with our regulatory strategy or we may be unable to successfully complete development to the FDA’s satisfaction. We believe our previously reported topline results for VAX-31 support clinical non-inferiority to PCV20, but there can be no assurance that this approach in pivotal studies will be sufficient for regulatory approval.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FDA has recently indicated consideration of additional evidentiary standards for certain vaccine approvals, including potential requirements for expanded clinical trials, additional safety data, and additional post-marketing surveillance. If applied, these changes may increase the time, cost, and complexity of developing and commercializing our vaccine candidates, and may delay or prevent the approval of new vaccines or updates to existing products.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seek Accelerated Approval from the FDA for our vaccine candidates and, if granted, the FDA may require us to perform post-marketing studies as a condition of approval to verify and describe the predicted effect on irreversible morbidity or mortality or other clinical endpoints. If the results from such post-marketing studies are not positive or otherwise fail to show the predicted effect, our vaccine candidate may be subject to expedited withdrawal procedures by the FDA. In addition, the standard of care may change with the approval of new products in the same disease areas that we are studying. This may result in the FDA or other regulatory agencies requesting additional studies to show that our vaccine candidate is non-inferior or superior to the new products.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clinical trial results may also not support approval. In addition, our vaccine candidates could fail to receive regulatory approval for many reasons, including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the design or implementation of our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or comparable foreign regulatory authorities that our vaccine candidates are safe and effective;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or comparable foreign regulatory authorities for approval;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we may be unable to demonstrate that our vaccine candidates’ clinical and other benefits outweigh their safety risks;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changes to the required threshold for the achievement of non-inferiority using established surrogate immune endpoints that our PCVs will need to meet in our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vaccine to be approved in pediatric populations may need to undergo extensive vaccine-vaccine interference studies with the standard-of-care pediatric vaccine regimen;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need to perform superiority or field efficacy trials, which can be larger, longer and more costly, if an existing vaccine is approved for a disease indication;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may disagree with our interpretation of data from preclinical studies or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data collected from clinical trials of our vaccine candidates may not be sufficient to the satisfaction of the FDA or comparable foreign regulatory authorities to support the submission of a BLA or other comparable submission in foreign jurisdictions or to obtain regulatory approval in the United States or elsewhere;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FDA or comparable foreign regulatory authorities will inspect the commercial manufacturing facilities we may utilize and may not approve such facilities;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receive regulatory approval of our vaccine candidates, we will be subject to ongoing regulatory obligations and continued regulatory review, which may result in significant additional expense, and we may be subject to penalties if we fail to comply with regulatory requirements or experience unanticipated problems with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we receive for our vaccine candidates may also be subject to limitations on the approved indicated uses for which a product may be marketed or to the conditions of approval, or contain requirements for potentially costly post-marketing testing, including post-marketing clinical trials, and surveillance to monitor the safety and efficacy of the vaccine candidate.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the FDA or a comparable foreign regulatory authority approves our vaccine candidates, the manufacturing processes, labeling, packaging, distribution, adverse event reporting, conduct of post-marketing studies, storage, sampling, advertising, promotion, import, export and recordkeeping for our vaccine candidates will be subject to extensive and ongoing regulatory requirements. These requirements include submissions of safety and other post-marketing information and reports, registration and continued compliance with cGMPs and GCPs for any clinical trials that we conduct post-approval. As such, we and our contract manufacturers will be subject to continual review and inspections to assess compliance with cGMP and 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 Further, we will be required to comply with FDA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Later discovery of previously unknown problems with our vaccine candidates, including side effects of unanticipated severity or frequency, or with our third-party suppliers or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Other potential consequences include, among other things: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restrictions on the marketing or manufacturing of our vaccine candidates, withdrawal of the product from the market or voluntary or mandatory product recalls;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fines, warning letters or holds on clinical trials;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refusal by the FDA to approve pending applications or supplements to approved applications filed by us or suspension or revocation of regulatory approvals;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exclusion from participating in government-funded healthcare programs, such as Medicare and Medicaid;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product seizure or detention, or refusal to permit the import or export of our vaccine candidates;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injunctions or the imposition of civil or criminal penalties. </w:t>
      </w:r>
    </w:p>
    <w:p>
      <w:pPr>
        <w:pStyle w:val="TextBody"/>
        <w:bidi w:val="0"/>
        <w:spacing w:before="60" w:after="283"/>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FDA’s and other regulatory authorities’ policies may change and additional government regulations may be enacted that could prevent, limit or delay regulatory approval of our vaccine candidates. For example, on June 28, 2024, the U.S. Supreme Court, in </w:t>
      </w:r>
      <w:r>
        <w:rPr>
          <w:rFonts w:ascii="Times New Roman;serif" w:hAnsi="Times New Roman;serif"/>
          <w:b w:val="false"/>
          <w:i/>
          <w:color w:val="000000"/>
          <w:sz w:val="20"/>
        </w:rPr>
        <w:t>Loper Bright Enterprises v. Raimondo</w:t>
      </w:r>
      <w:r>
        <w:rPr>
          <w:rFonts w:ascii="Times New Roman;serif" w:hAnsi="Times New Roman;serif"/>
          <w:b w:val="false"/>
          <w:color w:val="000000"/>
          <w:sz w:val="20"/>
        </w:rPr>
        <w:t xml:space="preserve">, overturned long-standing precedent regarding the deference courts owe to agencies’ interpretation of ambiguous statutes in their rulemaking. While the impact of the </w:t>
      </w:r>
      <w:r>
        <w:rPr>
          <w:rFonts w:ascii="Times New Roman;serif" w:hAnsi="Times New Roman;serif"/>
          <w:b w:val="false"/>
          <w:i/>
          <w:color w:val="000000"/>
          <w:sz w:val="20"/>
        </w:rPr>
        <w:t>Loper Bright</w:t>
      </w:r>
      <w:r>
        <w:rPr>
          <w:color w:val="000000"/>
        </w:rPr>
        <w:t xml:space="preserve"> </w:t>
      </w:r>
      <w:r>
        <w:rPr>
          <w:rFonts w:ascii="Times New Roman;serif" w:hAnsi="Times New Roman;serif"/>
          <w:b w:val="false"/>
          <w:color w:val="000000"/>
          <w:sz w:val="20"/>
        </w:rPr>
        <w:t>decision on our business and regulatory strategy is unknown, the decision generally may, among other things, increase the frequency of challenges to decisions and rulemaking of health regulators, including FDA determinations of drug approval and market exclusivity and the Centers for Medicare &amp; Medicaid Services (“CMS”) rules regarding reimbursement, and also impact the speed at which such health regulators make decisions and issue regulations.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to federal vaccine recommendations could lower utilization, change reimbursement for our products, and create access challenges because vaccine coverage requirements, including limits on cost-sharing, for nearly all insurers are linked to ACIP and CDC recommendations. These changes may affect the scope of liability protections under the National Vaccine Injury Compensation Program, insurance coverage and reimbursement for certain vaccines, and the requirements for state-level vaccine mandates. Ongoing and potential reforms to the federal vaccine injury compensation system, as well as increased state-level divergence from federal recommendations, may further impact our business, operations, and financial condition.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expect the vaccine candidates we develop will be regulated as biological products, or biologics, and therefore they may be subject to competition sooner than anticipated. </w:t>
      </w:r>
    </w:p>
    <w:p>
      <w:pPr>
        <w:pStyle w:val="TextBody"/>
        <w:bidi w:val="0"/>
        <w:spacing w:before="240" w:after="283"/>
        <w:jc w:val="left"/>
        <w:rPr/>
      </w:pPr>
      <w:r>
        <w:rPr/>
      </w:r>
    </w:p>
    <w:p>
      <w:pPr>
        <w:pStyle w:val="TextBody"/>
        <w:bidi w:val="0"/>
        <w:spacing w:lineRule="auto" w:line="268" w:before="0" w:after="0"/>
        <w:jc w:val="left"/>
        <w:rPr/>
      </w:pPr>
      <w:r>
        <w:rPr>
          <w:rFonts w:ascii="Times New Roman;serif" w:hAnsi="Times New Roman;serif"/>
          <w:b w:val="false"/>
          <w:color w:val="000000"/>
          <w:sz w:val="20"/>
        </w:rPr>
        <w:t>The Biologics Price Competition and Innovation Act of 2009 (the “BPCIA”) established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and</w:t>
      </w:r>
      <w:r>
        <w:rPr>
          <w:color w:val="000000"/>
          <w:shd w:fill="FFFFFF" w:val="clear"/>
        </w:rPr>
        <w:t xml:space="preserve"> </w:t>
      </w:r>
      <w:r>
        <w:rPr>
          <w:rFonts w:ascii="Times New Roman;serif" w:hAnsi="Times New Roman;serif"/>
          <w:b w:val="false"/>
          <w:color w:val="000000"/>
          <w:sz w:val="20"/>
          <w:shd w:fill="FFFFFF" w:val="clear"/>
        </w:rPr>
        <w:t>the FDA will not accept an application for a biosimilar product based on the reference biological product until four years after the date of first licensure of the reference product</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and will not approve a biosimilar until 12 years after the date of first licensure. These periods of exclusivity can be extended by six months by obtaining pediatric exclusivity. In addition, if the reference product is protected by patents, the biosimilar manufacturer and reference product manufacturer must engage in a complex process called the “patent dance.” The FDA has not yet approved a biosimilar vaccine.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is a risk that any exclusivity period we receive for any of the vaccine candidates we develop that is approved in the United States as a biological product under a BLA could be shortened due to congressional action or otherwise, or that the FDA will not consider the subject vaccine candidates to be reference products for competing products, potentially creating the opportunity for biosimilar competition sooner than anticipated. In October 2025, the FDA announced that it will no longer require comparative efficacy studies to establish biosimilarity. In addition, although it has not announced a formal policy, the FDA is no longer requiring switching studies for interchangeable products. In addition, the FDA’s updated guidance no longer requires an interchangeability statement on labeling. The FDA's more expansive view of interchangeability may allow more biosimilars to be automatically substituted for the reference product upon approval.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relationships with customers, physicians and third-party payors are subject, directly or indirectly, to federal and state healthcare fraud and abuse laws, health information privacy and security laws and other healthcare laws and regulations. If we or our employees, independent contractors, consultants, commercial partners and vendors violate these laws, we could face substantial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providers, including physicians and third-party payors, in the United States and elsewhere will play a primary role in the recommendation and prescription of any vaccine candidates for which we obtain marketing approval. Our current and future interactions and arrangements with healthcare professionals, principal investigators, consultants, customers, third-party payors, and patients subject us to various federal and state fraud and abuse laws and other healthcare laws.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laws may constrain the business or financial arrangements and relationships through which we conduct our operations, including how we research, market, sell and distribute our vaccine candidates, if approved. Such laws include: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U.S. federal civil and criminal false claims laws, including the civil False Claims Act, which prohibits, among other things, individuals or entities from knowingly presenting, or causing to be presented, claims for payment of government funds, including Medicare and Medicaid, that are false or fraudulent, or knowingly making, using or causing to be made or used, a false record or statement material to a false or fraudulent claim, or from knowingly making a false statement to avoid, decrease or conceal an obligation to pay money to the U.S. federal government. Actions under the civil False Claims Act may be brought by the federal government or as a qui tam or whistleblower action by a private individual in the name of the government. Pharmaceutical manufacturers have been investigated and have reached substantial financial settlements under the civil False Claims Act for causing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Health Insurance Portability and Accountability Act of 1996 (“HIPAA”) which, among other things, imposes criminal liability for knowingly and willfully executing, or attempting to execute, a scheme to defraud any healthcare benefit program, regardless of the payor (e.g., public or private),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and Clinical Health Act (the “HITECH”) and its implementing regulations, which also impose certain obligations, including mandatory contractual terms, with respect to safeguarding the privacy and security of individually identifiable health information of covered entities subject to the rule, including health plans, healthcare clearinghouses and certain healthcare providers, and their business associates that perform certain services involving the use or disclosure of individually identifiable health information for or on their behalf, as well as their covered subcontractors. HITECH also created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Federal Food, Drug, and Cosmetic Act and its implementing regulations, which prohibit, among other things, the adulteration or misbranding of drugs, biologics and medical devices;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information regarding ownership and investment interests held by the physicians described above and their immediate family members;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analogous U.S. state laws and regulations, including: state anti-kickback and false claims laws that may be broader in scope and may apply regardless of payor, in addition to items and services reimbursed under Medicaid and other state programs;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sources; state laws and regulations that require drug manufacturers to file reports relating to pricing and marketing information, which require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similar healthcare laws and regulations in the EU and other jurisdictions, including reporting requirements detailing interactions with and payments to healthcare providers;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laws governing the privacy and security of certain protected information, such as the EU GDPR, and the CCPA, which impose obligations and restrictions on the collection, use and disclosure of personal data (including health data) relating to individuals located in the European Economic Area (“EEA”) and California, respectively.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other laws, such as the U.S. Foreign Corrupt Practices Act of 1977, as amended, which prohibit,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as well as federal consumer protection and unfair competition laws, which broadly regulate marketplace activities and activities that potentially harm consumers.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business arrangements with third parties comply with applicable healthcare laws and regulations will likely be costly. It is possible that governmental authorities will conclude that our business practices, including our relationships with physicians and other healthcare providers, some of whom are compensated in the form of stock options for consulting services provided,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injunctions,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 In addition,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Coverage and reimbursement may be limited or unavailable in certain market segments for our vaccine candidates, which could make it difficult for us to sell our vaccine candidates, if approved, profitably.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sales of our vaccine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vaccine candidates for which we obtain regulatory approval.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Patients who receive vaccines generally rely on third-party payors to reimburse all or part of the associated costs. Obtaining coverage and adequate reimbursement from third-party payors is critical to new product acceptance.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Third-party payors decide which drugs and treatments they will cover and the amount of reimbursement. Reimbursement by a third-party payor may depend upon a number of factors, including, but not limited to, the third-party payor’s determination that use of a product is: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a covered benefit under its health plan;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safe, effective and medically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appropriate for the specific patient;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cost-effective;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neither experimental nor investigational.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vaccine candidates unless coverage is provided and reimbursement is adequate to cover a significant portion of the cost of our vaccine candidates. Separate reimbursement for the product itself may or may not be available. Instead, the hospital or administering physician may be reimbursed only for administering the product.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third-party payors and reduce the willingness of physicians to use our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seek approval to market our vaccine candidates in both the United States and in selected foreign jurisdictions. If we obtain approval in one or more foreign jurisdictions for our vaccine candidates, we will be subject to rules and regulations in those jurisdictions. In some foreign countries, particularly those in Europe, the pricing of biologics is subject to governmental control. In these countries, pricing negotiations with governmental authorities can take considerable time after obtaining marketing approval of a vaccine candidate. Some of these countries may require the completion of clinical trials that compare the cost-effectiveness of a particular vaccine candidate to currently available vaccines.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marketability of any vaccine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Healthcare legislative reform measures may have a negative impact on our business, financial condition, results of operations and prospects.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and we expect there will continue to be, several legislative and regulatory changes and proposed changes regarding the healthcare system that could prevent or delay marketing approval of vaccine candidates, restrict or regulate post-approval activities and affect our ability to profitably sell any vaccine candidates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of 2010 (collectively, the “ACA”), was passed, which substantially changed the way healthcare is financed by both the government and private insurers and significantly impacts the U.S. pharmaceutical industry. The ACA, among other things: (i) increased the minimum Medicaid rebates owed by manufacturers under the Medicaid Drug Rebate Program and extended the rebate program to individuals enrolled in Medicaid managed care organizations; (ii) created a new methodology by which rebates owed by manufacturers under the Medicaid Drug Rebate Program are calculated for certain drugs and biologics that are inhaled, infused, instilled, implanted or injected; (iii) established an annual, nondeductible fee on any entity that manufactures or imports certain specified branded prescription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drugs and biologic agents apportioned among these entities according to their market share in specific government healthcare programs; (iv) expanded the eligibility criteria for Medicaid programs; (v) created a new Patient-Centered Outcomes Research Institute to oversee, identify priorities in, and conduct comparative clinical effectiveness research, along with funding for such research; (vi) created a Medicare Part D coverage gap discount program (now replaced by the IRA); and (vii) established a Center for Medicare &amp; Medicaid Innovation (“CMMI”) at the CMS to test innovative payment and service delivery models to lower Medicare and Medicaid spending, potentially including prescription drugs.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executive, judicial and Congressional efforts to repeal, substantially modify or invalidate some or all of the provisions of the ACA, some of which have been successful. For example, the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a challenge on procedural grounds that argued the ACA is unconstitutional in its entirety because the “individual mandate” was repealed by Congress.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also have been proposed and adopted in the United States since the ACA was enacted. These have, among other things, reduced Medicare payments to several types of providers, including hospitals, imaging centers and cancer treatment centers, and increased the statute of limitations period for the government to recover overpayments to providers.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Another notable Medicare healthcare reform initiative, under the Medicare Access and CHIP Reauthorization Act of 2015 (“MACRA”), established a quality payment incentive program through which reimbursement is adjusted up or down based on various performance data collected each performance year. Any reduction in reimbursement from Medicare or other government programs may result in a similar reduction in payments from private payors. </w:t>
      </w:r>
    </w:p>
    <w:p>
      <w:pPr>
        <w:pStyle w:val="TextBody"/>
        <w:bidi w:val="0"/>
        <w:spacing w:before="24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and biological product pricing, reduce the cost of prescription drugs and biological products under government payor programs and review the relationship between pricing and manufacturer patient programs. For example, the IRA, among other things, (i) enables the Department of Health and Human Services (“HHS”) to assert control over the prices of certain single-source drugs and biologics covered under Medicare, (ii) subjects drug manufacturers to civil monetary penalties and a potential excise tax for offering a price that is not equal to or less than the negotiated “maximum fair price” under the law, (iii) imposes rebates under Medicare Part B and Medicare Part D to penalize price increases that outpace inflation, and (iv) redesigns the funding and benefit structure of the Medicare Part D program, potentially increasing manufacturer liability while capping annual out-of-pocket drug expenses for Medicare beneficiaries. The IRA also eliminates patient cost sharing for FDA-approved adult vaccines that are recommended by the ACIP and covered under Medicare Part D, and mandates that all state Medicaid programs cover FDA-approved adult vaccines that are recommended by the ACIP and their administration without cost sharing. In addition, in January 2026, the HHS announced the list of 15 drugs that will be subject to the third round of price negotiations.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IRA is currently subject to legal challenges and it is unclear how the IRA will be effectuated or changed in the future. However, the IRA does not change either the CDC’s Vaccines for Children program (“VFC”) or the provisions added in 2010 under the ACA. The VFC was established to give first-dollar coverage to children up to 18 years of age whose families could not pay for vaccinations while the ACA guaranteed coverage of vaccines without cost sharing for Americans who are either privately insured or newly covered in states that expanded Medicaid. Further, many vaccines are excluded from Medicare Part B rebate requirements.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action has been taken to change healthcare policies. For example, the federal government has shown substantial interest in taking a variety of measures aimed at lowering U.S. prescription drug prices to align with the lowest prices available for the same drugs in comparable developed nations (so called “most favored nation” pricing), including through CMMI models.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the state level, legislatures and regulatory agencies have increasingly passed legislation and implemented regulations designed to control drug pricing, including restrictions on pricing or reimbursement at the state government level, limitations on discounts to patients, advance notices of price increases, marketing cost disclosure and transparency measures, and, in some cases, policies to encourage importation from other countries (subject to federal approval) and bulk purchasing. The OBBBA will also reduce funds for Medicaid programs, which are administered by the states.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additional U.S. federal healthcare reform measures will be adopted in the future, any of which could limit the amounts that the U.S. federal government will pay for healthcare products and services, which could result in reduced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7"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demand, or additional pricing pressures on, any of our vaccine candidates approved in the future. We cannot predict the likelihood, nature or extent of government regulation that may arise from future legislation or administrative action in the United States or any other jurisdiction. If we or any third parties we may rely on are slow or unable to adapt to changes in existing or new requirements or policies, or if we or such third parties are not able to maintain regulatory compliance, any current or future vaccine candidates we develop may lose any regulatory approval that may have been obtained and we may not achieve or sustain profitability.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these and other healthcare reform measures that may be adopted in the future may result in more rigorous coverage criteria and in additional downward pressure on the price that we may receive for any product approved in the future, which could have an adverse effect on demand for our vaccine candidates. Any reduction in reimbursement from Medicare or other government programs may result in a similar reduction in payments from private payors. The adoption of cost containment measures or other healthcare reforms, and our associated compliance obligations, may prevent us from being able to generate revenue, attain profitability or commercialize any product candidates, if approved.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development, review and approval of our product candidates are subject to the operational capacity, processes and resource levels of regulatory authorities, which may fluctuate over time and could delay or adversely affect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approve new products can be affected by a variety of factors, including budget and funding levels for critical departments, payment of user fees and reauthorization of user fee programs, staffing levels, retention of key personnel, as well as statutory, regulatory and policy changes. In addition, funding of other government agencies that support research and development activities relevant to FDA review, such as research to understand new technologies or establish new standards, may also fluctuate over time.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policies or actions that impact the funding, staffing, or operations of regulatory agencies, including changes to the user fee reauthorization process or a failure to reauthorize user fee programs in a timely manner, could lead to changes in review periods or response times. This, in turn, could affect the development and regulatory timelines for approval of new products and related services and have a material adverse effect on our business.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We are subject to stringent and rapidly changing laws, regulations, and rules, contractual obligations, industry standards, policies and other obligations related to privacy and data security. The obligations and restrictions imposed by these requirements can lead to substantial related implementation costs. In addition, our actual or perceived failure to comply with applicable laws and other obligations related to privacy and data security could lead to regulatory investigations or actions; litigation (including class claims) and mass arbitration demands; reputational harm; fines and penalties; loss or revenue or profits; and other adverse business consequences.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personal data and other Sensitive Information. We are subject to or affected by numerous evolving federal, state and foreign laws and regulations, as well as policies, contracts and other obligations governing the collection, use, disclosure, retention, and security of personal data. The global data privacy and protection landscape is rapidly evolving, and implementation standards and enforcement practices are likely to remain uncertain for the foreseeable future.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For example, HIPAA, as amended by HITECH, imposes requirements relating to the privacy and security of individually identifiable health information used, stored, or transmitted by health plans, healthcare clearinghouses and certain healthcare providers, as well as their respective contractors and their covered subcontractors that perform services for them involving individually identifiable health information. Additionally, certain states have adopted healthcare privacy and security laws and regulations that impose restrictions and obligations comparable to those listed under HIPAA, some of which can be more stringent than HIPAA. In the event we fail to properly maintain the privacy and security of individually identifiable health information governed by HIPAA or comparable state laws, or we are responsible for an unauthorized disclosure or security breach of such information, we could be subject to enforcement action under HIPAA or comparable state laws, and significant civil and criminal penalties, and fines.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data security laws beyond HIPAA and other healthcare privacy laws, including data breach notification laws, personal data privacy laws, consumer protection laws (e.g., Section 5 of the Federal Trade Commission Act), and other similar laws (e.g., wiretapping laws). For example, the CCPA imposes obligations on covered businesses, including, but not limited to, providing specific disclosures in privacy notices and affording California residents certain rights related to their personal data. In addition, the CPRA expanded the CCPA’s requirements, including by adding new rights allowing individuals to opt out of the sharing (as defined under the CCPA) of and correct their personal data and limit the use and disclosure of their sensitive personal data, as well as by establishing a new California Privacy Protection Agency to implement and enforce, alongside the California Attorney General, the CCPA. Other U.S. states have also recently enacted comprehensive data privacy laws — including Virginia, Connecticut, Utah, Colorado, Delaware, Indiana, Iowa, Kentucky, Maryland, Minnesota, Montana,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New Hampshire, New Jersey, Nebraska, Oregon, Rhode Island, Tennessee, and Texas — and other local, state, and federal laws are currently under consideration. Certain states also impose stricter requirements, such as conducting data privacy impact assessments, for processing certain personal data, including sensitive information. These state laws allow for statutory fines for noncompliance. For example, the CCPA allows for fines of up to $7,500 per intentional violation and allows for private litigants affected by certain data breaches to recover significant statutory damages. While these states, like the CCPA, also exempt some data processed in the context of clinical trials, these developments further complicate compliance efforts, and increase legal risk and compliance costs for us and the third parties upon which we rely. If we become subject to new data privacy laws, at the state level,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also additionally become subject to a growing body of privacy, data security and data protection laws outside of the United States as we expand our business and clinical trial activities. For example, the EU GDPR and the UK GDPR impose strict requirements for processing the personal data of individuals located, respectively within the EEA and the United Kingdom (the “UK”). Under either law,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many jurisdictions have enacted data localization laws and cross-border personal data transfer laws. These laws may make it more difficult for companies to transfer personal data across jurisdictions, which could impede our business. In particular, the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we need but cannot implement a valid compliance mechanism for cross-border privacy and security transfers, or if the requirements for a legally compliant transfer are too onerous, we may face increased exposure to regulatory actions, substantial fines, and injunctions against processing or transferring personal data from Europe or elsewhere.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European and other data privacy and security laws; or requiring us to increase our personal data processing capabilities in Europe and/or elsewhere at significant expense.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companies that transfer personal data out of the EEA and UK to other jurisdictions, particularly to the United States, are subject to increased scrutiny from regulators, individual litigants, and activist groups. 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related to data privacy and security (and consumers’ data privacy expectations)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upon which we rely. In addition, these obligations may require us to change our business model.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endeavor to comply with all applicable data privacy and security obligations, we may at times fail (or be perceived to have failed) to do so. Moreover, despite our efforts, our personnel or third parties upon which we rely may fail (or be perceived to have failed)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consent decrees that impose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9" name="Frame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and products, or if the scope of the patent protection obtained is not sufficiently broad, we may not be able to compete effectively in our markets.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upon a combination of patents, trademarks, trade secret protection and confidentiality agreements to protect the intellectual property related to our vaccine development programs and vaccine candidates. Our success depends in large part on our ability to obtain and maintain patent protection in the United States and other countries with respect to our PCV candidates and any future vaccine candidates, as well as methods of making our vaccine candidates and components thereof. We seek to protect our proprietary position by filing patent applications in the United States and abroad related to our development programs and vaccine candidates. The patent prosecution process is expensive and time-consuming, and we may not be able to file and prosecute all necessary or desirable patent applications at a reasonable cost or in a timely manner.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patents and patent applications that we own or in-license may fail to result in issued patents with claims that protect our PCV candidates or any future vaccine candidate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PCV candidates or any future vaccine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vaccine candidates or companion diagnostic that we may develop. Further, if we encounter delays in regulatory approvals, the period during which we could market a vaccine candidate under patent protection could be reduced.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the patent applications we hold or have in-licensed with respect to our development programs and vaccine candidates fail to issue, if their breadth or strength of protection is threatened, or if they fail to provide meaningful exclusivity for our PCV candidates or any future vaccine candidate, it could dissuade companies from collaborating with us to develop vaccine candidates and threaten our ability to commercialize future vaccines. Any such outcome could have a materially adverse effect on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may be subject to a third-party pre-issuance submission of prior art to the U.S. Patent and Trademark Office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vaccine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80" name="Frame8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a patent term can be adjusted to recapture a portion of delay by the USPTO in examining the patent application (patent term adjustment (“PTA”)) or extended to account for the term effectively lost as a result of the FDA regulatory review period (patent term extension), or both. The scope of patent protection may also be limited. Without patent protection for our current or future vaccine candidates, we may be open to competition from generic versions of such products. Given the amount of time required for the development, testing and regulatory review of new vaccine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our obligations under any license, collaboration or other agreements, we may be required to pay damages and could lose intellectual property rights that are necessary for developing and protecting our vaccine candidates.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have licensed certain intellectual property rights related to the XpressCF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components of our PCV candidates, and methods of making components of our PCV candidates from Sutro Biopharma and University of Georgia Research Foundation, Inc. We also license certain intellectual property rights related to a non-cross-reactive Group A Strep carbohydrate antigen and related methods of production from the Regents of the University of California. If, for any reason, these agreements are terminated or we otherwise lose those rights, it could adversely affect our business. These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lineRule="auto" w:line="268" w:before="240" w:after="283"/>
        <w:jc w:val="left"/>
        <w:rPr/>
      </w:pPr>
      <w:r>
        <w:rPr>
          <w:rFonts w:ascii="Times New Roman;serif" w:hAnsi="Times New Roman;serif"/>
          <w:b w:val="false"/>
          <w:color w:val="000000"/>
          <w:sz w:val="20"/>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our PCV candidates or any future vaccine candidate, or the XpressCF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our competitors might be able to enter the market, which would have an adverse effect on our business.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Third-party claims or litigation alleging infringement of patents or other proprietary rights, or seeking to invalidate our patents or other proprietary rights, may delay or prevent the development, manufacturing and commercialization of our PCV candidates and any future vaccine candidate.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vaccine candidates. As the biotechnology and pharmaceutical industries expand and more patents are issued, and as we gain greater visibility and market exposure as a public company, the risk increases that our vaccine candidates or other business activities may be subject to claims of infringement of the patent and other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1" name="Frame8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rights of third parties. Third parties may assert that we are infringing their patents or employing their proprietary technology without authorization.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Also, there may be third-party patents or patent applications with claims to materials, formulations, methods of manufacture or methods for treatment related to the use or manufacture of our vaccine candidates. Because patent applications can take many years to issue, there may be currently pending patent applications which may later result in issued patents that our vaccine candidates may infringe.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third parties may obtain patent rights in the future and claim that use of our technologies infringes upon these rights. If any third-party patents were held by a court of competent jurisdiction to cover the manufacturing process of any of our vaccine candidates, any molecules formed during the manufacturing process or any final product itself, the holders of any such patents may be able to block our ability to commercialize such vaccine candidate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vaccine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Parties making claims against us may obtain injunctive or other equitable relief, which could effectively block our ability to further develop and commercialize one or more of our vaccine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as the vaccine patent landscape is crowded and highly competitive, even in the absence of litigation we may need to obtain licenses from third parties to advance our research or allow commercialization of our vaccine candidates, and we have done so from time to time. We may fail to obtain any of these licenses at a reasonable cost or on reasonable terms, if at all. In that event, we would be unable to further develop and commercialize one or more of our vaccine candidates, which could harm our business significantly. We cannot provide any assurances that third-party patents do not exist which might be enforced against vaccine candidates resulting in either an injunction prohibiting our sales, or, with respect to our sales, an obligation on our part to pay royalties or other forms of compensation to third parties.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the patents of our licensors or our other intellectual property rights, which could be expensive, time consuming and unsuccessful.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82" name="Frame8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U.S. patent law or the patent law of other countries or jurisdictions could diminish the value of patents in general, thereby impairing our ability to protect our products.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may, upon grant of a patent, become a Unitary Patent which will be subject to the jurisdiction of the Unitary Patent Court (“UPC”). As the UPC is a new court system, there is no precedent for the court, increasing the uncertainty of any litigation. Patents granted before the implementation of the UPC may be opted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Any trademarks we may obtain may be infringed or successfully challenged, resulting in harm to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rely on trademarks as one means to distinguish any of our vaccine candidates that are approved for marketing from the products of our competitors. We have not yet selected trademarks for our vaccine candidates and have not yet begun the process of applying to register trademarks for our current or any future vaccine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any proprietary name we propose to use with our current or any other vaccine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to identify a suitable proprietary product name that would qualify under applicable trademark laws, not infringe the existing rights of third parties and be acceptable to the FDA.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protect our intellectual property rights throughout the world, which could impair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covering our current vaccine candidates and any future vaccine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83" name="Frame8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any future patent claims or other intellectual property rights may not be effective or sufficient to prevent them from so competing.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ongoing conflict in Ukraine and related sanctions could significantly devalue our Eurasian patents validated in Russia, and Eurasian patent applications. Russian decrees may also significantly limit our ability to enforce Russian patents. We cannot predict when or how this situation will change.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reliance on third parties requires us to share our trade secrets, which increases the possibility that a competitor will discover them or that our trade secrets will be misappropriated or disclosed.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we rely on third parties to manufacture VAX-31, VAX-24 and potentially future vaccine candidates, and we collaborate with third parties on the development of VAX-31, VAX-24 and potentially future vaccine candidates, we must, at times, share trade secrets with them. We also conduct joint research and development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Further, disputes may arise under these agreements regarding inventorship or ownership of proprietary information generated during research and development.</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that our employees, consultants or independent contractors have wrongfully used or disclosed confidential information of their former employers or other third parties.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20"/>
        </w:rPr>
        <w:t>The price of our stock has been and</w:t>
      </w:r>
      <w:r>
        <w:rPr>
          <w:color w:val="000000"/>
        </w:rPr>
        <w:t xml:space="preserve"> </w:t>
      </w:r>
      <w:r>
        <w:rPr>
          <w:rFonts w:ascii="Times New Roman;serif" w:hAnsi="Times New Roman;serif"/>
          <w:b/>
          <w:i/>
          <w:color w:val="000000"/>
          <w:sz w:val="20"/>
        </w:rPr>
        <w:t xml:space="preserve">may continue be volatile, and the value of our common stock has and may continue to decline, any of which could result in substantial losses for investors.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has been and may continue to be highly volatile and could be subject to wide fluctuations in response to various factors, some of which are beyond our control, including limited trading volume. In addition to the factors discussed in this “Risk Factors” section and elsewhere in this Quarterly Report on Form 10-Q, these factors include, but are not limited to: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the commencement, enrollment or results of our planned or future preclinical studies or clinical trials of our vaccine candidates and those of our competitors;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regulatory recommending body or legal developments in the United States and abroad;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success of competitive vaccines or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84" name="Frame8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 applications, issued patents or other proprietary rights;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level of expenses related to our vaccine candidates or preclinical and clinical development programs;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results of our efforts to develop additional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actual or anticipated changes in estimates as to financial results, development timelines or recommendations or reports by securities analysts;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the level of expenses and capital investment related to manufacturing our vaccine candidates;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our inability to obtain or delays in obtaining adequate supply for any approved vaccine candidate;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significant lawsuits, including patent or stockholder litigation;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variations in our financial results or those of companies perceived to be similar to us;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including coverage and adequate reimbursement for any approved vaccine;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general economic, political and market conditions, including high inflation rates, bank failures, changes in interest rates, government tapering policies and the conflicts in Ukraine and the Middle East, significant changes in trade policies, and overall fluctuations in the financial markets in the United States and abroad;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investors’ general perception of us and our business.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on our common stock so any returns will be limited to the value of our stock.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Expectations relating to environmental, social and governance programs may impose additional costs and expose us to new risks.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focus of certain investors and other key stakeholders concerning corporate responsibility, specifically related to environmental, social and governance (“ESG”) factors has been changing, and ESG laws and regulations regarding disclosure, reporting and diligence requirements continue to evolve. Some parties have placed an increased emphasis on corporate responsibility ratings and a number of third parties provide reports on companies in order to measure and assess corporate responsibility performance. In addition, the ESG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On the other hand, state attorneys general and other governmental authorities may take action against certain ESG policies or practices. We risk damage to our brand and reputation if our corporate responsibility procedures or standards do not meet the standards set by various constituencies or comply with new laws and regulations or changes to legal or regulatory requirements concerning ESG. We may be required to make investments to comply with various ESG</w:t>
      </w:r>
      <w:r>
        <w:rPr>
          <w:color w:val="000000"/>
        </w:rPr>
        <w:t xml:space="preserve"> </w:t>
      </w:r>
      <w:r>
        <w:rPr>
          <w:rFonts w:ascii="Times New Roman;serif" w:hAnsi="Times New Roman;serif"/>
          <w:b w:val="false"/>
          <w:color w:val="000000"/>
          <w:sz w:val="20"/>
        </w:rPr>
        <w:t xml:space="preserve">and anti-ESG practices and regulations, which could be significant and adversely impact our results of operations. Furthermore, if our competitors’ corporate responsibility performance is perceived to be greater than ours, potential or current investors may elect to invest with our competitors instead. In addition, if we communicate certain initiatives and goals regarding ESG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or do not meet evolving legal and regulatory standards, our reputation and financial results could be materially and adversely affected.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sales of a substantial number of shares of our common stock, or the perception that such sales could occur, could cause our stock price to fall.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85" name="Frame8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These sales, or the public’s perception that such sales could occur, could have an adverse effect on the market price of our common stock.</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Provisions in our corporate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establish a classified Board such that not all members of the Board are elected at one time;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allow the authorized number of our directors to be changed only by resolution of our Board;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limit the manner in which stockholders can remove directors from the Board;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establish advance notice requirements for stockholder proposals that can be acted on at stockholder meetings and nominations to our Board;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require that stockholder actions must be effected at a duly called stockholder meeting and prohibit actions by our stockholders by written consent;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prohibit our stockholders from calling a special meeting of our stockholders;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require the approval of the holders of at least 66 </w:t>
      </w:r>
      <w:r>
        <w:rPr>
          <w:rFonts w:ascii="Times New Roman;serif" w:hAnsi="Times New Roman;serif"/>
          <w:b w:val="false"/>
          <w:color w:val="000000"/>
          <w:sz w:val="13"/>
        </w:rPr>
        <w:t>2</w:t>
      </w:r>
      <w:r>
        <w:rPr>
          <w:color w:val="000000"/>
        </w:rPr>
        <w:t>⁄</w:t>
      </w:r>
      <w:r>
        <w:rPr>
          <w:rFonts w:ascii="Times New Roman;serif" w:hAnsi="Times New Roman;serif"/>
          <w:b w:val="false"/>
          <w:color w:val="000000"/>
          <w:sz w:val="13"/>
        </w:rPr>
        <w:t>3</w:t>
      </w:r>
      <w:r>
        <w:rPr>
          <w:rFonts w:ascii="Times New Roman;serif" w:hAnsi="Times New Roman;serif"/>
          <w:b w:val="false"/>
          <w:color w:val="000000"/>
          <w:sz w:val="20"/>
        </w:rPr>
        <w:t xml:space="preserve">% of the votes that all our stockholders would be entitled to cast to amend or repeal certain provisions of our charter or bylaws.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any breach of the director’s duty of loyalty to the corporation or its stockholders;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act or omission not in good faith or that involves intentional misconduct or a knowing violation of law;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unlawful payments of dividends or unlawful stock repurchases or redemptions; or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transaction from which the director derived an improper personal benefit.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Such limitation of liability does not apply to liabilities arising under federal securities laws and does not affect the availability of equitable remedies such as injunctive relief or rescission.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86" name="Frame8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While we maintain directors’ and officers’ liability insurance, such insurance may not be adequate to cover all liabilities that we may incur, which may reduce our available funds to satisfy third-party claims and may adversely impact our cash position.</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provides that the Court of Chancery of the State of Delaware will, to the fullest extent permitted by applicable law,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the Court of Chancery of the State of Delaware (or, in the event that the Court of Chancery does not have jurisdiction, the federal district court for the District of Delaware or other state courts of the State of Delaware), to the fullest extent permitted by applicable law, is the exclusive forum for the following types of actions or proceedings under Delaware statutory or common law: </w:t>
      </w:r>
    </w:p>
    <w:p>
      <w:pPr>
        <w:pStyle w:val="TextBody"/>
        <w:bidi w:val="0"/>
        <w:spacing w:lineRule="auto" w:line="268" w:before="240" w:after="283"/>
        <w:ind w:left="0" w:right="0" w:hanging="360"/>
        <w:jc w:val="left"/>
        <w:rPr/>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action or proceeding asserting a claim of breach of a fiduciary duty owed by any of our current or former directors, officers or other employees to us or our stockholders;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action or proceeding asserting a claim against us or any of our current or former directors, officers or other employees, arising out of or pursuant to any provision of the DGCL, our certificate of incorporation or our bylaws;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action or proceeding to interpret, apply, enforce or determine the validity of our certificate of incorporation or our bylaws; and </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 xml:space="preserve">any action or proceeding asserting a claim against us by any of our directors, officers or other employees governed by the internal affairs doctrine.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provision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exclusive-forum provisions may limit a stockholder’s ability to bring a claim in a judicial forum that it finds favorable for disputes with us or our directors, officers or other employees, which may discourage these types of lawsuits.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vaccine candidates.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additional capital through a combination of public and private equity offerings, debt financings, strategic partnerships and alliances and licensing arrangements, including through the use of our “at-the-market” facility. To the extent that we raise additional capital through the sale of equity or convertible debt securities, your ownership interest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87" name="Frame8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vaccine candidates, or grant licenses on terms unfavorable to us.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Unstable market and economic conditions may have serious adverse consequences on our business, financial condition and stock price.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credit and financial markets have experienced extreme volatility and disruptions, including as a result worsening global economic conditions, including higher inflation rates and changes in interest rates, and civil and political unrest in certain countries and regions. Such volatility and disruptions have caused and may continue to cause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including higher inflation rates and changes in interest rates,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cash and cash equivalents that we use to meet our working capital and operating expense needs and investments we hold are held and managed with financial institutions. If any of the financial institutions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For example, on March 10, 2023, the California Department of Financial Protection and Innovation took control of Silicon Valley Bank (“SVB”) and appointed the Federal Deposit Insurance Corporation (“FDIC”) as receiver. While SVB was our primary bank at the time, we have not experienced any losses on our deposits or investments with SVB as a result of this market event. We continue to maintain a banking relationship with SVB, which is almost entirely comprised of our funds held in custodial accounts of a third-party institution for which SVB Asset Management was the advisor (“SVB Custodial Accounts”). While we were able to recover all deposited amounts from SVB, and continue to have access to all investments held in the SVB Custodial Accounts, there can be no assurance that our current or future banks will not face similar risks as SVB or that we will be able to recover in full our deposits in the event of similar closures. If one or any of the financial institutions in which we hold our funds for working capital and operating expense needs were to fail, we cannot provide any assurances that such governmental agencies would take action to protect our uninsured deposits in a similar manner.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Significant changes and volatility in trade policies could materially affect our business, financial condition, liquidity and results of operations, and stock price.</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International trade policies are subject to periodic revision and may change in response to economic, geopolitical or national security considerations. The U.S. government and certain foreign governments have recently announced new or increased tariffs on imported goods, and additional tariffs or increases in tariffs could be assessed in the future. Pharmaceuticals have historically been exempt from tariffs. However, pursuant to Section 232 of the Trade Expansion Act of 1962, the U.S. government has announced plans to impose a 100% tariff on patented pharmaceutical products and ingredients manufactured outside the U.S., subject to certain exemptions and reduced rates, including delayed implementation, reduced rates for imports from certain countries, exemptions for specific product categories, and pathways to mitigate tariffs through onshoring and pricing agreements with the U.S. government. While the full scope and implementation of these measures remain subject to further clarification, it is possible that the imposition of tariffs on a range of pharmaceutical products and ingredients may negatively impact certain aspects of our manufacturing process for our clinical trial product materials and supplies, the level of expenses related to our vaccine candidates or preclinical and clinical development programs, and our business.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manufacturers with global operations, so our business may be impacted by tariffs. We do not sell any commercial products nor do we expect to do so in the immediate future, so we cannot pass on the increased costs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88" name="Frame8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tariffs to customers. Therefore, we would expect to absorb any increased costs, which could negatively impact our business.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financial condition and results of operations may fluctuate from quarter to quarter and year to year, which makes them difficult to predict.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results of operations to fluctuate from quarter to quarter and year to year due to a variety of factors, many of which are beyond our control. Accordingly, you should not rely upon the results of any quarterly or annual periods as indications of future operating performance. </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proper and effective internal control over financial reporting, our ability to produce accurate and timely consolidated financial statements could be impaired, investors may lose confidence in our financial reporting and the trading price of our common stock may decline.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404 of the Sarbanes-Oxley Act, we are required to include an attestation report on internal control over financial reporting issued by our independent registered public accounting firm with our annual reports on Form 10-K.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common stock may decline.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publish inaccurate or unfavorable research about our business, our stock price and trading volume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89" name="Frame8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We do not have control over these analysts. If securities or industry analysts do not publish research or reports about our business, the trading price for our stock would likely be negatively impacted.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a.Recent Sales of Unregistered Equity Securities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7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b.Use of Proceeds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76"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c.Issuer Purchases of Equity Securities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adoption, modification or termination of contracts, instructions or written plans for the purchase or sale of our securities by our Section 16 officers or directors for the three months ended June 30, 2026, each of which was entered into during an open trading window and is intended to satisfy the affirmative defense conditions of Rule 10b5-1(c) under the Exchange Act (“10b5-1 Plan”), was as follows: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Harp Dhaliwal, our Chief Technical Operations Officer, adopted a 10b5-1 Plan on April 6, 2026, with an effective date of August 5, 2026. Mr. Dhaliwal’s 10b5-1 Plan provides for the potential exercise and sale of up to 68,000 shares of our common stock, and expires on August 15, 2027, or upon the earlier completion of all authorized transactions thereunder.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other directors or Section 16 officers adopted, modified or terminated any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90" name="Frame9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2012"/>
        <w:gridCol w:w="1894"/>
        <w:gridCol w:w="1916"/>
        <w:gridCol w:w="250"/>
        <w:gridCol w:w="250"/>
        <w:gridCol w:w="251"/>
        <w:gridCol w:w="262"/>
        <w:gridCol w:w="262"/>
        <w:gridCol w:w="263"/>
        <w:gridCol w:w="225"/>
        <w:gridCol w:w="225"/>
        <w:gridCol w:w="226"/>
        <w:gridCol w:w="388"/>
        <w:gridCol w:w="319"/>
        <w:gridCol w:w="40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Schedule</w:t>
              <w:br/>
              <w:t>Form</w:t>
            </w:r>
          </w:p>
        </w:tc>
        <w:tc>
          <w:tcPr>
            <w:tcW w:w="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File</w:t>
              <w:br/>
              <w:t>Number</w:t>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Filing</w:t>
              <w:br/>
              <w:t>Date</w:t>
            </w:r>
          </w:p>
        </w:tc>
      </w:tr>
      <w:tr>
        <w:trPr/>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00"/>
                  <w:sz w:val="18"/>
                  <w:u w:val="single"/>
                </w:rPr>
                <w:t xml:space="preserve">Second Amended and Restated Certificate of Incorporation of Vaxcyte, Inc. </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24, 2026</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00"/>
                  <w:sz w:val="18"/>
                  <w:u w:val="single"/>
                </w:rPr>
                <w:t>Amended and Restated Bylaws of Vaxcyte, Inc., as amended.</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6, 2023</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00"/>
                  <w:sz w:val="18"/>
                  <w:u w:val="single"/>
                  <w:shd w:fill="FFFFFF" w:val="clear"/>
                </w:rPr>
                <w:t>Form of Common Stock Certificate of the Registrant.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333-238630</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8, 2020</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00"/>
                  <w:sz w:val="18"/>
                  <w:u w:val="single"/>
                  <w:shd w:fill="FFFFFF" w:val="clear"/>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13, 2022</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00"/>
                  <w:sz w:val="18"/>
                  <w:u w:val="single"/>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27, 2022</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00"/>
                  <w:sz w:val="18"/>
                  <w:u w:val="single"/>
                  <w:shd w:fill="FFFFFF" w:val="clear"/>
                </w:rPr>
                <w:t>Form of Pre-Funded Warrant</w:t>
              </w:r>
            </w:hyperlink>
            <w:r>
              <w:rPr>
                <w:rFonts w:ascii="Times New Roman;serif" w:hAnsi="Times New Roman;serif"/>
                <w:b w:val="false"/>
                <w:color w:val="000000"/>
                <w:sz w:val="18"/>
                <w:shd w:fill="FFFFFF" w:val="clear"/>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 2023</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00"/>
                  <w:sz w:val="18"/>
                  <w:u w:val="single"/>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31, 2024</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00"/>
                  <w:sz w:val="18"/>
                  <w:u w:val="single"/>
                </w:rPr>
                <w:t>Form of Pre-Funded Warrant.</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001-39323</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6, 2024</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q22026.htm">
              <w:r>
                <w:rPr>
                  <w:rStyle w:val="InternetLink"/>
                  <w:rFonts w:ascii="Times New Roman;serif" w:hAnsi="Times New Roman;serif"/>
                  <w:b w:val="false"/>
                  <w:color w:val="000000"/>
                  <w:sz w:val="18"/>
                  <w:u w:val="single"/>
                </w:rPr>
                <w:t>Certification of Principal Executive Officer Pursuant to Rules 13a-14(a) and 15d-14(a) under the Securities Exchange Act of 1934, as Adopted Pursuant to Section 302 of the Sarbanes-Oxley Act of 2002.</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q22026.htm">
              <w:r>
                <w:rPr>
                  <w:rStyle w:val="InternetLink"/>
                  <w:rFonts w:ascii="Times New Roman;serif" w:hAnsi="Times New Roman;serif"/>
                  <w:b w:val="false"/>
                  <w:color w:val="000000"/>
                  <w:sz w:val="18"/>
                  <w:u w:val="single"/>
                </w:rPr>
                <w:t>Certification of Principal Financial Officer Pursuant to Rules 13a-14(a) and 15d-14(a) under the Securities Exchange Act of 1934, as Adopted Pursuant to Section 302 of the Sarbanes-Oxley Act of 2002.</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32.1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q22026.htm">
              <w:r>
                <w:rPr>
                  <w:rStyle w:val="InternetLink"/>
                  <w:rFonts w:ascii="Times New Roman;serif" w:hAnsi="Times New Roman;serif"/>
                  <w:b w:val="false"/>
                  <w:color w:val="000000"/>
                  <w:sz w:val="18"/>
                  <w:u w:val="single"/>
                </w:rPr>
                <w:t>Certification of Principal Executive Officer and Principal Financial Officer Pursuant to 18 U.S.C. Section 1350, as Adopted Pursuant to Section 906 of the Sarbanes-Oxley Act of 2002.</w:t>
              </w:r>
            </w:hyperlink>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for the cover page of the Quarterly Report on Form 10-Q included in the Exhibit 101 Inline XBRL Document Set.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0" w:after="0"/>
        <w:ind w:left="0" w:right="0" w:hanging="180"/>
        <w:jc w:val="left"/>
        <w:rPr/>
      </w:pPr>
      <w:r>
        <w:rPr>
          <w:rFonts w:ascii="Times New Roman;serif" w:hAnsi="Times New Roman;serif"/>
          <w:b w:val="false"/>
          <w:color w:val="000000"/>
          <w:sz w:val="10"/>
        </w:rPr>
        <w:t>X     </w:t>
      </w:r>
      <w:r>
        <w:rPr>
          <w:rFonts w:ascii="Times New Roman;serif" w:hAnsi="Times New Roman;serif"/>
          <w:b w:val="false"/>
          <w:color w:val="000000"/>
          <w:sz w:val="16"/>
        </w:rPr>
        <w:t>Filed herewith.</w:t>
      </w:r>
    </w:p>
    <w:p>
      <w:pPr>
        <w:pStyle w:val="TextBody"/>
        <w:bidi w:val="0"/>
        <w:spacing w:lineRule="auto" w:line="276" w:before="240" w:after="283"/>
        <w:ind w:left="0" w:right="0" w:hanging="180"/>
        <w:jc w:val="left"/>
        <w:rPr/>
      </w:pPr>
      <w:r>
        <w:rPr>
          <w:color w:val="000000"/>
        </w:rPr>
        <w:t>†</w:t>
      </w:r>
      <w:r>
        <w:rPr>
          <w:rFonts w:ascii="Times New Roman;serif" w:hAnsi="Times New Roman;serif"/>
          <w:b w:val="false"/>
          <w:color w:val="000000"/>
          <w:sz w:val="16"/>
        </w:rPr>
        <w:t>The certification attached as Exhibit 32.1 that accompanies this Quarterly Report on Form 10-Q is not deemed filed with the SEC and is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p>
      <w:pPr>
        <w:pStyle w:val="TextBody"/>
        <w:bidi w:val="0"/>
        <w:spacing w:lineRule="auto" w:line="276" w:before="240" w:after="283"/>
        <w:ind w:left="0" w:right="0" w:firstLine="2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13" w:type="dxa"/>
        <w:jc w:val="left"/>
        <w:tblInd w:w="0" w:type="dxa"/>
        <w:tblLayout w:type="fixed"/>
        <w:tblCellMar>
          <w:top w:w="28" w:type="dxa"/>
          <w:left w:w="28" w:type="dxa"/>
          <w:bottom w:w="28" w:type="dxa"/>
          <w:right w:w="28" w:type="dxa"/>
        </w:tblCellMar>
      </w:tblPr>
      <w:tblGrid>
        <w:gridCol w:w="667"/>
        <w:gridCol w:w="587"/>
        <w:gridCol w:w="590"/>
        <w:gridCol w:w="389"/>
        <w:gridCol w:w="389"/>
        <w:gridCol w:w="391"/>
        <w:gridCol w:w="964"/>
        <w:gridCol w:w="964"/>
        <w:gridCol w:w="137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Vaxcyte, Inc.</w:t>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Grant E. Pickering</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Grant E. Pickering</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Andrew Guggenhime</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and Chief Financial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9085"/>
                <wp:effectExtent l="0" t="0" r="0" b="0"/>
                <wp:wrapNone/>
                <wp:docPr id="92" name="Frame9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362"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62"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I, Grant E. Pickering, certify that: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Vaxcyte, Inc.;</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0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622"/>
        <w:gridCol w:w="622"/>
        <w:gridCol w:w="88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/s/ Grant E. Pickering</w:t>
            </w:r>
          </w:p>
        </w:tc>
      </w:tr>
      <w:tr>
        <w:trPr/>
        <w:tc>
          <w:tcPr>
            <w:tcW w:w="184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2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Grant E. Pickering</w:t>
            </w:r>
          </w:p>
        </w:tc>
      </w:tr>
      <w:tr>
        <w:trPr/>
        <w:tc>
          <w:tcPr>
            <w:tcW w:w="184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212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2"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62"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I, Andrew Guggenhime, certify that: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Vaxcyte, Inc.;</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62" w:before="24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7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964"/>
        <w:gridCol w:w="964"/>
        <w:gridCol w:w="137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184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Andrew Guggenhime</w:t>
            </w:r>
          </w:p>
        </w:tc>
      </w:tr>
      <w:tr>
        <w:trPr/>
        <w:tc>
          <w:tcPr>
            <w:tcW w:w="184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362" w:before="0" w:after="0"/>
              <w:jc w:val="left"/>
              <w:rPr>
                <w:color w:val="000000"/>
              </w:rPr>
            </w:pPr>
            <w:r>
              <w:rPr>
                <w:color w:val="000000"/>
              </w:rPr>
              <w:t>   </w:t>
            </w:r>
          </w:p>
        </w:tc>
        <w:tc>
          <w:tcPr>
            <w:tcW w:w="3299" w:type="dxa"/>
            <w:gridSpan w:val="3"/>
            <w:tcBorders/>
            <w:tcMar>
              <w:top w:w="0" w:type="dxa"/>
              <w:left w:w="0" w:type="dxa"/>
              <w:bottom w:w="0" w:type="dxa"/>
              <w:right w:w="0" w:type="dxa"/>
            </w:tcMar>
            <w:vAlign w:val="center"/>
          </w:tcPr>
          <w:p>
            <w:pPr>
              <w:pStyle w:val="TableContents"/>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2"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62"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362"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362" w:before="0" w:after="240"/>
        <w:jc w:val="both"/>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w:t>
      </w:r>
      <w:r>
        <w:rPr>
          <w:color w:val="000000"/>
        </w:rPr>
        <w:t xml:space="preserve"> </w:t>
      </w:r>
      <w:r>
        <w:rPr>
          <w:rFonts w:ascii="Times New Roman;serif" w:hAnsi="Times New Roman;serif"/>
          <w:b w:val="false"/>
          <w:color w:val="000000"/>
          <w:sz w:val="20"/>
        </w:rPr>
        <w:t>Grant E. Pickering, Chief Executive Officer of Vaxcyte, Inc. (the “Company”), and Andrew Guggenhime, President and Chief Financial Officer of the Company, each hereby certifies that, to the best of his or her knowledge:</w:t>
      </w:r>
    </w:p>
    <w:p>
      <w:pPr>
        <w:pStyle w:val="TextBody"/>
        <w:bidi w:val="0"/>
        <w:spacing w:lineRule="auto" w:line="38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38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362" w:before="0" w:after="240"/>
        <w:jc w:val="both"/>
        <w:rPr>
          <w:rFonts w:ascii="Times New Roman;serif" w:hAnsi="Times New Roman;serif"/>
          <w:b w:val="false"/>
          <w:color w:val="000000"/>
          <w:sz w:val="20"/>
        </w:rPr>
      </w:pPr>
      <w:r>
        <w:rPr>
          <w:rFonts w:ascii="Times New Roman;serif" w:hAnsi="Times New Roman;serif"/>
          <w:b w:val="false"/>
          <w:color w:val="000000"/>
          <w:sz w:val="20"/>
        </w:rPr>
        <w:t>Dated: August 5, 2026</w:t>
      </w:r>
    </w:p>
    <w:tbl>
      <w:tblPr>
        <w:tblW w:w="5725" w:type="dxa"/>
        <w:jc w:val="left"/>
        <w:tblInd w:w="0" w:type="dxa"/>
        <w:tblLayout w:type="fixed"/>
        <w:tblCellMar>
          <w:top w:w="28" w:type="dxa"/>
          <w:left w:w="28" w:type="dxa"/>
          <w:bottom w:w="28" w:type="dxa"/>
          <w:right w:w="28" w:type="dxa"/>
        </w:tblCellMar>
      </w:tblPr>
      <w:tblGrid>
        <w:gridCol w:w="759"/>
        <w:gridCol w:w="669"/>
        <w:gridCol w:w="671"/>
        <w:gridCol w:w="109"/>
        <w:gridCol w:w="109"/>
        <w:gridCol w:w="109"/>
        <w:gridCol w:w="964"/>
        <w:gridCol w:w="964"/>
        <w:gridCol w:w="137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Grant E. Pickering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20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Grant E. Pickering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Andrew Guggenhime</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President and Chief Financial Officer</w:t>
            </w:r>
          </w:p>
        </w:tc>
      </w:tr>
    </w:tbl>
    <w:p>
      <w:pPr>
        <w:pStyle w:val="TextBody"/>
        <w:bidi w:val="0"/>
        <w:spacing w:lineRule="auto" w:line="362" w:before="240" w:after="240"/>
        <w:jc w:val="both"/>
        <w:rPr>
          <w:color w:val="000000"/>
        </w:rPr>
      </w:pPr>
      <w:r>
        <w:rPr>
          <w:color w:val="000000"/>
        </w:rPr>
        <w:t>“</w:t>
      </w: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Vaxcyte,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094/000164909426000007/exhibit31-secondarcertific.htm" TargetMode="External"/><Relationship Id="rId3" Type="http://schemas.openxmlformats.org/officeDocument/2006/relationships/hyperlink" Target="https://www.sec.gov/Archives/edgar/data/1649094/000095017023059395/pcvx-ex3_2.htm" TargetMode="External"/><Relationship Id="rId4" Type="http://schemas.openxmlformats.org/officeDocument/2006/relationships/hyperlink" Target="https://www.sec.gov/Archives/edgar/data/1649094/000119312520162659/d802328dex41.htm" TargetMode="External"/><Relationship Id="rId5" Type="http://schemas.openxmlformats.org/officeDocument/2006/relationships/hyperlink" Target="https://www.sec.gov/Archives/edgar/data/0001649094/000119312522008768/d259937dex41.htm" TargetMode="External"/><Relationship Id="rId6" Type="http://schemas.openxmlformats.org/officeDocument/2006/relationships/hyperlink" Target="https://www.sec.gov/Archives/edgar/data/1649094/000119312522270039/d374961dex41.htm" TargetMode="External"/><Relationship Id="rId7" Type="http://schemas.openxmlformats.org/officeDocument/2006/relationships/hyperlink" Target="https://www.sec.gov/Archives/edgar/data/1649094/000119312523106984/d490519dex41.htm" TargetMode="External"/><Relationship Id="rId8" Type="http://schemas.openxmlformats.org/officeDocument/2006/relationships/hyperlink" Target="https://www.sec.gov/Archives/edgar/data/1649094/000119312524021084/d752729dex41.htm" TargetMode="External"/><Relationship Id="rId9" Type="http://schemas.openxmlformats.org/officeDocument/2006/relationships/hyperlink" Target="https://www.sec.gov/Archives/edgar/data/1649094/000119312524214711/d802914dex4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63502</Words>
  <Characters>359992</Characters>
  <CharactersWithSpaces>422262</CharactersWithSpaces>
  <Paragraphs>2854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