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0001886794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Vaxcyte, Inc.</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001-39323</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650-837-0111</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Dhaliwal Harpreet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17000</w:t>
            </w:r>
          </w:p>
        </w:tc>
        <w:tc>
          <w:tcPr>
            <w:tcW w:w="1390" w:type="dxa"/>
            <w:tcBorders/>
            <w:vAlign w:val="center"/>
          </w:tcPr>
          <w:p>
            <w:pPr>
              <w:pStyle w:val="TableContents"/>
              <w:bidi w:val="0"/>
              <w:spacing w:before="0" w:after="283"/>
              <w:jc w:val="left"/>
              <w:rPr/>
            </w:pPr>
            <w:r>
              <w:rPr/>
              <w:t>935000.00</w:t>
            </w:r>
          </w:p>
        </w:tc>
        <w:tc>
          <w:tcPr>
            <w:tcW w:w="1563" w:type="dxa"/>
            <w:tcBorders/>
            <w:vAlign w:val="center"/>
          </w:tcPr>
          <w:p>
            <w:pPr>
              <w:pStyle w:val="TableContents"/>
              <w:bidi w:val="0"/>
              <w:spacing w:before="0" w:after="283"/>
              <w:jc w:val="left"/>
              <w:rPr/>
            </w:pPr>
            <w:r>
              <w:rPr/>
              <w:t>144397682</w:t>
            </w:r>
          </w:p>
        </w:tc>
        <w:tc>
          <w:tcPr>
            <w:tcW w:w="1574" w:type="dxa"/>
            <w:tcBorders/>
            <w:vAlign w:val="center"/>
          </w:tcPr>
          <w:p>
            <w:pPr>
              <w:pStyle w:val="TableContents"/>
              <w:bidi w:val="0"/>
              <w:spacing w:before="0" w:after="283"/>
              <w:jc w:val="left"/>
              <w:rPr/>
            </w:pPr>
            <w:r>
              <w:rPr/>
              <w:t>08/05/2026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17000</w:t>
            </w:r>
          </w:p>
        </w:tc>
        <w:tc>
          <w:tcPr>
            <w:tcW w:w="1078" w:type="dxa"/>
            <w:tcBorders/>
            <w:vAlign w:val="center"/>
          </w:tcPr>
          <w:p>
            <w:pPr>
              <w:pStyle w:val="TableContents"/>
              <w:bidi w:val="0"/>
              <w:spacing w:before="0" w:after="283"/>
              <w:jc w:val="left"/>
              <w:rPr/>
            </w:pPr>
            <w:r>
              <w:rPr/>
              <w:t>08/05/2026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60"/>
        <w:gridCol w:w="5245"/>
      </w:tblGrid>
      <w:tr>
        <w:trPr/>
        <w:tc>
          <w:tcPr>
            <w:tcW w:w="4960" w:type="dxa"/>
            <w:tcBorders/>
            <w:vAlign w:val="center"/>
          </w:tcPr>
          <w:p>
            <w:pPr>
              <w:pStyle w:val="TableContents"/>
              <w:bidi w:val="0"/>
              <w:spacing w:before="0" w:after="283"/>
              <w:jc w:val="left"/>
              <w:rPr/>
            </w:pPr>
            <w:r>
              <w:rPr/>
              <w:t>Remarks</w:t>
            </w:r>
          </w:p>
        </w:tc>
        <w:tc>
          <w:tcPr>
            <w:tcW w:w="5245" w:type="dxa"/>
            <w:tcBorders/>
            <w:vAlign w:val="center"/>
          </w:tcPr>
          <w:p>
            <w:pPr>
              <w:pStyle w:val="TableContents"/>
              <w:bidi w:val="0"/>
              <w:spacing w:before="0" w:after="283"/>
              <w:jc w:val="left"/>
              <w:rPr>
                <w:sz w:val="4"/>
                <w:szCs w:val="4"/>
              </w:rPr>
            </w:pPr>
            <w:r>
              <w:rPr>
                <w:sz w:val="4"/>
                <w:szCs w:val="4"/>
              </w:rPr>
            </w:r>
          </w:p>
        </w:tc>
      </w:tr>
      <w:tr>
        <w:trPr/>
        <w:tc>
          <w:tcPr>
            <w:tcW w:w="4960" w:type="dxa"/>
            <w:tcBorders/>
            <w:vAlign w:val="center"/>
          </w:tcPr>
          <w:p>
            <w:pPr>
              <w:pStyle w:val="TableContents"/>
              <w:bidi w:val="0"/>
              <w:spacing w:before="0" w:after="283"/>
              <w:jc w:val="left"/>
              <w:rPr/>
            </w:pPr>
            <w:r>
              <w:rPr/>
              <w:t>Date of Notice</w:t>
            </w:r>
          </w:p>
        </w:tc>
        <w:tc>
          <w:tcPr>
            <w:tcW w:w="5245" w:type="dxa"/>
            <w:tcBorders/>
            <w:vAlign w:val="center"/>
          </w:tcPr>
          <w:p>
            <w:pPr>
              <w:pStyle w:val="TableContents"/>
              <w:bidi w:val="0"/>
              <w:spacing w:before="0" w:after="0"/>
              <w:jc w:val="left"/>
              <w:rPr/>
            </w:pPr>
            <w:r>
              <w:rPr/>
              <w:t>08/05/2026</w:t>
            </w:r>
          </w:p>
        </w:tc>
      </w:tr>
      <w:tr>
        <w:trPr/>
        <w:tc>
          <w:tcPr>
            <w:tcW w:w="4960" w:type="dxa"/>
            <w:tcBorders/>
            <w:vAlign w:val="center"/>
          </w:tcPr>
          <w:p>
            <w:pPr>
              <w:pStyle w:val="TableContents"/>
              <w:bidi w:val="0"/>
              <w:spacing w:before="0" w:after="283"/>
              <w:jc w:val="left"/>
              <w:rPr/>
            </w:pPr>
            <w:r>
              <w:rPr/>
              <w:t>Date of Plan Adoption or Giving of Instruction, If Relying on Rule 10b5-1</w:t>
            </w:r>
          </w:p>
        </w:tc>
        <w:tc>
          <w:tcPr>
            <w:tcW w:w="5245" w:type="dxa"/>
            <w:tcBorders/>
            <w:vAlign w:val="center"/>
          </w:tcPr>
          <w:p>
            <w:pPr>
              <w:pStyle w:val="TableContents"/>
              <w:bidi w:val="0"/>
              <w:spacing w:before="0" w:after="0"/>
              <w:jc w:val="left"/>
              <w:rPr/>
            </w:pPr>
            <w:r>
              <w:rPr/>
              <w:t>04/06/2026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60" w:type="dxa"/>
            <w:tcBorders/>
            <w:vAlign w:val="center"/>
          </w:tcPr>
          <w:p>
            <w:pPr>
              <w:pStyle w:val="TableContents"/>
              <w:bidi w:val="0"/>
              <w:spacing w:before="0" w:after="283"/>
              <w:jc w:val="left"/>
              <w:rPr/>
            </w:pPr>
            <w:r>
              <w:rPr/>
              <w:t>Signature</w:t>
            </w:r>
          </w:p>
        </w:tc>
        <w:tc>
          <w:tcPr>
            <w:tcW w:w="5245" w:type="dxa"/>
            <w:tcBorders/>
            <w:vAlign w:val="center"/>
          </w:tcPr>
          <w:p>
            <w:pPr>
              <w:pStyle w:val="TableContents"/>
              <w:bidi w:val="0"/>
              <w:spacing w:before="0" w:after="0"/>
              <w:jc w:val="left"/>
              <w:rPr/>
            </w:pPr>
            <w:r>
              <w:rPr/>
              <w:t>/s/ UBS Financial Services, Inc. as attorney-in-fact for Harpreet Dhaliwal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3007</Characters>
  <CharactersWithSpaces>3547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