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sz w:val="20"/>
        </w:rPr>
      </w:pPr>
      <w:bookmarkStart w:id="0" w:name="d165282dfwp.htm"/>
      <w:bookmarkStart w:id="1" w:name="ksd165282dfwp"/>
      <w:bookmarkEnd w:id="0"/>
      <w:bookmarkEnd w:id="1"/>
      <w:r>
        <w:rPr>
          <w:rFonts w:ascii="Times New Roman" w:hAnsi="Times New Roman"/>
          <w:sz w:val="20"/>
        </w:rPr>
        <w:t xml:space="preserve">Issuer Free Writing Prospectus </w:t>
      </w:r>
    </w:p>
    <w:p>
      <w:pPr>
        <w:pStyle w:val="TextBody"/>
        <w:bidi w:val="0"/>
        <w:spacing w:before="0" w:after="0"/>
        <w:jc w:val="right"/>
        <w:rPr>
          <w:rFonts w:ascii="Times New Roman" w:hAnsi="Times New Roman"/>
          <w:sz w:val="20"/>
        </w:rPr>
      </w:pPr>
      <w:r>
        <w:rPr>
          <w:rFonts w:ascii="Times New Roman" w:hAnsi="Times New Roman"/>
          <w:sz w:val="20"/>
        </w:rPr>
        <w:t xml:space="preserve">Filed Pursuant to Rule 433 </w:t>
      </w:r>
    </w:p>
    <w:p>
      <w:pPr>
        <w:pStyle w:val="TextBody"/>
        <w:bidi w:val="0"/>
        <w:spacing w:before="0" w:after="0"/>
        <w:jc w:val="right"/>
        <w:rPr>
          <w:rFonts w:ascii="Times New Roman" w:hAnsi="Times New Roman"/>
          <w:sz w:val="20"/>
        </w:rPr>
      </w:pPr>
      <w:r>
        <w:rPr>
          <w:rFonts w:ascii="Times New Roman" w:hAnsi="Times New Roman"/>
          <w:sz w:val="20"/>
        </w:rPr>
        <w:t xml:space="preserve">Registration Statement No. 333-279735 </w:t>
      </w:r>
    </w:p>
    <w:p>
      <w:pPr>
        <w:pStyle w:val="TextBody"/>
        <w:bidi w:val="0"/>
        <w:spacing w:before="0" w:after="0"/>
        <w:jc w:val="right"/>
        <w:rPr>
          <w:rFonts w:ascii="Times New Roman" w:hAnsi="Times New Roman"/>
          <w:sz w:val="20"/>
        </w:rPr>
      </w:pPr>
      <w:r>
        <w:rPr>
          <w:rFonts w:ascii="Times New Roman" w:hAnsi="Times New Roman"/>
          <w:sz w:val="20"/>
        </w:rPr>
        <w:t xml:space="preserve">Relating to the </w:t>
      </w:r>
    </w:p>
    <w:p>
      <w:pPr>
        <w:pStyle w:val="TextBody"/>
        <w:bidi w:val="0"/>
        <w:spacing w:before="0" w:after="0"/>
        <w:jc w:val="right"/>
        <w:rPr>
          <w:rFonts w:ascii="Times New Roman" w:hAnsi="Times New Roman"/>
          <w:sz w:val="20"/>
        </w:rPr>
      </w:pPr>
      <w:r>
        <w:rPr>
          <w:rFonts w:ascii="Times New Roman" w:hAnsi="Times New Roman"/>
          <w:sz w:val="20"/>
        </w:rPr>
        <w:t xml:space="preserve">Preliminary Prospectus Supplements </w:t>
      </w:r>
    </w:p>
    <w:p>
      <w:pPr>
        <w:pStyle w:val="TextBody"/>
        <w:bidi w:val="0"/>
        <w:spacing w:before="0" w:after="0"/>
        <w:jc w:val="right"/>
        <w:rPr>
          <w:rFonts w:ascii="Times New Roman" w:hAnsi="Times New Roman"/>
          <w:sz w:val="20"/>
        </w:rPr>
      </w:pPr>
      <w:r>
        <w:rPr>
          <w:rFonts w:ascii="Times New Roman" w:hAnsi="Times New Roman"/>
          <w:sz w:val="20"/>
        </w:rPr>
        <w:t xml:space="preserve">Dated October 5, 2026 </w:t>
      </w:r>
    </w:p>
    <w:p>
      <w:pPr>
        <w:pStyle w:val="TextBody"/>
        <w:bidi w:val="0"/>
        <w:spacing w:before="0" w:after="0"/>
        <w:jc w:val="right"/>
        <w:rPr>
          <w:rFonts w:ascii="Times New Roman" w:hAnsi="Times New Roman"/>
          <w:sz w:val="20"/>
        </w:rPr>
      </w:pPr>
      <w:r>
        <w:rPr>
          <w:rFonts w:ascii="Times New Roman" w:hAnsi="Times New Roman"/>
          <w:sz w:val="20"/>
        </w:rPr>
        <w:t xml:space="preserve">(To Prospectus Dated May 24, 2024) </w:t>
      </w:r>
    </w:p>
    <w:p>
      <w:pPr>
        <w:pStyle w:val="TextBody"/>
        <w:bidi w:val="0"/>
        <w:spacing w:before="240" w:after="0"/>
        <w:jc w:val="center"/>
        <w:rPr>
          <w:rFonts w:ascii="Times New Roman" w:hAnsi="Times New Roman"/>
          <w:b/>
          <w:sz w:val="20"/>
        </w:rPr>
      </w:pPr>
      <w:r>
        <w:rPr>
          <w:rFonts w:ascii="Times New Roman" w:hAnsi="Times New Roman"/>
          <w:b/>
          <w:sz w:val="20"/>
        </w:rPr>
        <w:t xml:space="preserve">PRICING TERM SHEET </w:t>
      </w:r>
    </w:p>
    <w:p>
      <w:pPr>
        <w:pStyle w:val="TextBody"/>
        <w:bidi w:val="0"/>
        <w:spacing w:before="0" w:after="0"/>
        <w:jc w:val="center"/>
        <w:rPr>
          <w:rFonts w:ascii="Times New Roman" w:hAnsi="Times New Roman"/>
          <w:b/>
          <w:sz w:val="20"/>
        </w:rPr>
      </w:pPr>
      <w:r>
        <w:rPr>
          <w:rFonts w:ascii="Times New Roman" w:hAnsi="Times New Roman"/>
          <w:b/>
          <w:sz w:val="20"/>
        </w:rPr>
        <w:t xml:space="preserve">October 6, 2026 </w:t>
      </w:r>
    </w:p>
    <w:p>
      <w:pPr>
        <w:pStyle w:val="TextBody"/>
        <w:bidi w:val="0"/>
        <w:spacing w:before="240" w:after="0"/>
        <w:jc w:val="center"/>
        <w:rPr>
          <w:rFonts w:ascii="Times New Roman" w:hAnsi="Times New Roman"/>
          <w:b/>
          <w:sz w:val="20"/>
        </w:rPr>
      </w:pPr>
      <w:r>
        <w:rPr>
          <w:rFonts w:ascii="Times New Roman" w:hAnsi="Times New Roman"/>
          <w:b/>
          <w:sz w:val="20"/>
        </w:rPr>
        <w:t xml:space="preserve">Vaxcyte, Inc. </w:t>
      </w:r>
    </w:p>
    <w:p>
      <w:pPr>
        <w:pStyle w:val="TextBody"/>
        <w:bidi w:val="0"/>
        <w:spacing w:before="0" w:after="0"/>
        <w:jc w:val="center"/>
        <w:rPr>
          <w:rFonts w:ascii="Times New Roman" w:hAnsi="Times New Roman"/>
          <w:b/>
          <w:sz w:val="20"/>
        </w:rPr>
      </w:pPr>
      <w:r>
        <w:rPr>
          <w:rFonts w:ascii="Times New Roman" w:hAnsi="Times New Roman"/>
          <w:b/>
          <w:sz w:val="20"/>
        </w:rPr>
        <w:t xml:space="preserve">Offerings of </w:t>
      </w:r>
    </w:p>
    <w:p>
      <w:pPr>
        <w:pStyle w:val="TextBody"/>
        <w:bidi w:val="0"/>
        <w:spacing w:before="0" w:after="0"/>
        <w:jc w:val="center"/>
        <w:rPr>
          <w:rFonts w:ascii="Times New Roman" w:hAnsi="Times New Roman"/>
          <w:b/>
          <w:sz w:val="20"/>
        </w:rPr>
      </w:pPr>
      <w:r>
        <w:rPr>
          <w:rFonts w:ascii="Times New Roman" w:hAnsi="Times New Roman"/>
          <w:b/>
          <w:sz w:val="20"/>
        </w:rPr>
        <w:t xml:space="preserve">7,412,500 Shares of Common Stock and Pre-Funded Warrants to Purchase 400,000 Shares of Common Stock </w:t>
      </w:r>
    </w:p>
    <w:p>
      <w:pPr>
        <w:pStyle w:val="TextBody"/>
        <w:bidi w:val="0"/>
        <w:spacing w:before="0" w:after="0"/>
        <w:jc w:val="center"/>
        <w:rPr>
          <w:rFonts w:ascii="Times New Roman" w:hAnsi="Times New Roman"/>
          <w:b/>
          <w:sz w:val="20"/>
        </w:rPr>
      </w:pPr>
      <w:r>
        <w:rPr>
          <w:rFonts w:ascii="Times New Roman" w:hAnsi="Times New Roman"/>
          <w:b/>
          <w:sz w:val="20"/>
        </w:rPr>
        <w:t xml:space="preserve">and </w:t>
      </w:r>
    </w:p>
    <w:p>
      <w:pPr>
        <w:pStyle w:val="TextBody"/>
        <w:bidi w:val="0"/>
        <w:spacing w:before="0" w:after="0"/>
        <w:jc w:val="center"/>
        <w:rPr>
          <w:rFonts w:ascii="Times New Roman" w:hAnsi="Times New Roman"/>
          <w:b/>
          <w:sz w:val="20"/>
        </w:rPr>
      </w:pPr>
      <w:r>
        <w:rPr>
          <w:rFonts w:ascii="Times New Roman" w:hAnsi="Times New Roman"/>
          <w:b/>
          <w:sz w:val="20"/>
        </w:rPr>
        <w:t xml:space="preserve">$500,000,000 Aggregate Principal Amount of </w:t>
      </w:r>
    </w:p>
    <w:p>
      <w:pPr>
        <w:pStyle w:val="TextBody"/>
        <w:bidi w:val="0"/>
        <w:spacing w:before="0" w:after="0"/>
        <w:jc w:val="center"/>
        <w:rPr>
          <w:rFonts w:ascii="Times New Roman" w:hAnsi="Times New Roman"/>
          <w:b/>
          <w:sz w:val="20"/>
        </w:rPr>
      </w:pPr>
      <w:r>
        <w:rPr>
          <w:rFonts w:ascii="Times New Roman" w:hAnsi="Times New Roman"/>
          <w:b/>
          <w:sz w:val="20"/>
        </w:rPr>
        <w:t xml:space="preserve">1.50% Convertible Senior Notes due 2032 </w:t>
      </w:r>
    </w:p>
    <w:p>
      <w:pPr>
        <w:pStyle w:val="TextBody"/>
        <w:bidi w:val="0"/>
        <w:spacing w:before="240" w:after="0"/>
        <w:jc w:val="left"/>
        <w:rPr>
          <w:rFonts w:ascii="Times New Roman" w:hAnsi="Times New Roman"/>
          <w:i/>
          <w:sz w:val="20"/>
        </w:rPr>
      </w:pPr>
      <w:r>
        <w:rPr>
          <w:rFonts w:ascii="Times New Roman" w:hAnsi="Times New Roman"/>
          <w:i/>
          <w:sz w:val="20"/>
        </w:rPr>
        <w:t xml:space="preserve">The information in this pricing term sheet supplements Vaxcyte, Inc.’s preliminary prospectus supplement, dated October 5, 2026 (the “Common Stock Preliminary Prospectus Supplement”), relating to an offering of common stock and pre-funded warrants to purchase shares of common stock (the “Common Stock Offering”), and Vaxcyte, Inc.’s preliminary prospectus supplement, dated October 5, 2026 (the “Convertible Note Preliminary Prospectus Supplement,” and, together with the Common Stock Preliminary Prospectus Supplement, the “Preliminary Prospectus Supplements”), relating to an offering of convertible senior notes due 2032 (the “Convertible Note Offering”), and supersedes the information in the applicable Preliminary Prospectus Supplement to the extent inconsistent with the information in that Preliminary Prospectus Supplement. Terms used, but not defined, in this pricing term sheet have the respective meanings set forth in the applicable Preliminary Prospectus Supplement. As used in this pricing term sheet, “we,” “our” and “us” refer to Vaxcyte, Inc. and not to its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Common Stock Offering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62"/>
        <w:gridCol w:w="120"/>
        <w:gridCol w:w="7423"/>
      </w:tblGrid>
      <w:tr>
        <w:trPr/>
        <w:tc>
          <w:tcPr>
            <w:tcW w:w="266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423"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2662" w:type="dxa"/>
            <w:tcBorders/>
            <w:vAlign w:val="center"/>
          </w:tcPr>
          <w:p>
            <w:pPr>
              <w:pStyle w:val="TableContents"/>
              <w:bidi w:val="0"/>
              <w:spacing w:before="0" w:after="283"/>
              <w:jc w:val="left"/>
              <w:rPr>
                <w:sz w:val="4"/>
                <w:szCs w:val="4"/>
              </w:rPr>
            </w:pPr>
            <w:r>
              <w:rPr>
                <w:sz w:val="4"/>
                <w:szCs w:val="4"/>
              </w:rPr>
            </w:r>
          </w:p>
        </w:tc>
        <w:tc>
          <w:tcPr>
            <w:tcW w:w="7543" w:type="dxa"/>
            <w:gridSpan w:val="2"/>
            <w:tcBorders/>
            <w:vAlign w:val="center"/>
          </w:tcPr>
          <w:p>
            <w:pPr>
              <w:pStyle w:val="TableContents"/>
              <w:bidi w:val="0"/>
              <w:spacing w:before="0" w:after="283"/>
              <w:jc w:val="left"/>
              <w:rPr>
                <w:sz w:val="4"/>
                <w:szCs w:val="4"/>
              </w:rPr>
            </w:pPr>
            <w:r>
              <w:rPr>
                <w:sz w:val="4"/>
                <w:szCs w:val="4"/>
              </w:rPr>
            </w:r>
          </w:p>
        </w:tc>
      </w:tr>
      <w:tr>
        <w:trPr/>
        <w:tc>
          <w:tcPr>
            <w:tcW w:w="2662" w:type="dxa"/>
            <w:tcBorders/>
          </w:tcPr>
          <w:p>
            <w:pPr>
              <w:pStyle w:val="TableContents"/>
              <w:bidi w:val="0"/>
              <w:spacing w:before="0" w:after="0"/>
              <w:jc w:val="left"/>
              <w:rPr>
                <w:rFonts w:ascii="Times New Roman" w:hAnsi="Times New Roman"/>
                <w:sz w:val="20"/>
              </w:rPr>
            </w:pPr>
            <w:r>
              <w:rPr>
                <w:rFonts w:ascii="Times New Roman" w:hAnsi="Times New Roman"/>
                <w:sz w:val="20"/>
              </w:rPr>
              <w:t>Issuer</w:t>
            </w:r>
          </w:p>
        </w:tc>
        <w:tc>
          <w:tcPr>
            <w:tcW w:w="120" w:type="dxa"/>
            <w:tcBorders/>
            <w:vAlign w:val="bottom"/>
          </w:tcPr>
          <w:p>
            <w:pPr>
              <w:pStyle w:val="TableContents"/>
              <w:bidi w:val="0"/>
              <w:spacing w:before="0" w:after="283"/>
              <w:jc w:val="left"/>
              <w:rPr/>
            </w:pPr>
            <w:r>
              <w:rPr/>
              <w:t>  </w:t>
            </w:r>
          </w:p>
        </w:tc>
        <w:tc>
          <w:tcPr>
            <w:tcW w:w="7423" w:type="dxa"/>
            <w:tcBorders/>
          </w:tcPr>
          <w:p>
            <w:pPr>
              <w:pStyle w:val="TableContents"/>
              <w:bidi w:val="0"/>
              <w:spacing w:before="0" w:after="283"/>
              <w:jc w:val="left"/>
              <w:rPr/>
            </w:pPr>
            <w:r>
              <w:rPr/>
              <w:t>Vaxcyte, Inc.</w:t>
            </w:r>
          </w:p>
        </w:tc>
      </w:tr>
      <w:tr>
        <w:trPr>
          <w:trHeight w:val="120" w:hRule="atLeast"/>
        </w:trPr>
        <w:tc>
          <w:tcPr>
            <w:tcW w:w="2662" w:type="dxa"/>
            <w:tcBorders/>
            <w:vAlign w:val="center"/>
          </w:tcPr>
          <w:p>
            <w:pPr>
              <w:pStyle w:val="TableContents"/>
              <w:bidi w:val="0"/>
              <w:spacing w:before="0" w:after="283"/>
              <w:jc w:val="left"/>
              <w:rPr>
                <w:sz w:val="4"/>
                <w:szCs w:val="4"/>
              </w:rPr>
            </w:pPr>
            <w:r>
              <w:rPr>
                <w:sz w:val="4"/>
                <w:szCs w:val="4"/>
              </w:rPr>
            </w:r>
          </w:p>
        </w:tc>
        <w:tc>
          <w:tcPr>
            <w:tcW w:w="7543" w:type="dxa"/>
            <w:gridSpan w:val="2"/>
            <w:tcBorders/>
            <w:vAlign w:val="center"/>
          </w:tcPr>
          <w:p>
            <w:pPr>
              <w:pStyle w:val="TableContents"/>
              <w:bidi w:val="0"/>
              <w:spacing w:before="0" w:after="283"/>
              <w:jc w:val="left"/>
              <w:rPr>
                <w:sz w:val="4"/>
                <w:szCs w:val="4"/>
              </w:rPr>
            </w:pPr>
            <w:r>
              <w:rPr>
                <w:sz w:val="4"/>
                <w:szCs w:val="4"/>
              </w:rPr>
            </w:r>
          </w:p>
        </w:tc>
      </w:tr>
      <w:tr>
        <w:trPr/>
        <w:tc>
          <w:tcPr>
            <w:tcW w:w="2662" w:type="dxa"/>
            <w:tcBorders/>
          </w:tcPr>
          <w:p>
            <w:pPr>
              <w:pStyle w:val="TableContents"/>
              <w:bidi w:val="0"/>
              <w:spacing w:before="0" w:after="283"/>
              <w:jc w:val="left"/>
              <w:rPr/>
            </w:pPr>
            <w:r>
              <w:rPr/>
              <w:t>Securities Offered</w:t>
            </w:r>
          </w:p>
        </w:tc>
        <w:tc>
          <w:tcPr>
            <w:tcW w:w="120" w:type="dxa"/>
            <w:tcBorders/>
            <w:vAlign w:val="bottom"/>
          </w:tcPr>
          <w:p>
            <w:pPr>
              <w:pStyle w:val="TableContents"/>
              <w:bidi w:val="0"/>
              <w:spacing w:before="0" w:after="283"/>
              <w:jc w:val="left"/>
              <w:rPr/>
            </w:pPr>
            <w:r>
              <w:rPr/>
              <w:t>  </w:t>
            </w:r>
          </w:p>
        </w:tc>
        <w:tc>
          <w:tcPr>
            <w:tcW w:w="7423" w:type="dxa"/>
            <w:tcBorders/>
          </w:tcPr>
          <w:p>
            <w:pPr>
              <w:pStyle w:val="TableContents"/>
              <w:bidi w:val="0"/>
              <w:spacing w:before="0" w:after="283"/>
              <w:jc w:val="left"/>
              <w:rPr/>
            </w:pPr>
            <w:r>
              <w:rPr/>
              <w:t>7,412,500 (or, if the underwriters of the Common Stock Offering fully exercise their option to purchase additional shares, 8,584,375) shares of common stock, $0.001 par value per share, of Vaxcyte, Inc. (the “Common Stock”) and pre-funded warrants to purchase 400,000 shares of Common Stock (the “Pre-Funded Warrants”).</w:t>
            </w:r>
          </w:p>
        </w:tc>
      </w:tr>
      <w:tr>
        <w:trPr>
          <w:trHeight w:val="120" w:hRule="atLeast"/>
        </w:trPr>
        <w:tc>
          <w:tcPr>
            <w:tcW w:w="2662" w:type="dxa"/>
            <w:tcBorders/>
            <w:vAlign w:val="center"/>
          </w:tcPr>
          <w:p>
            <w:pPr>
              <w:pStyle w:val="TableContents"/>
              <w:bidi w:val="0"/>
              <w:spacing w:before="0" w:after="283"/>
              <w:jc w:val="left"/>
              <w:rPr>
                <w:sz w:val="4"/>
                <w:szCs w:val="4"/>
              </w:rPr>
            </w:pPr>
            <w:r>
              <w:rPr>
                <w:sz w:val="4"/>
                <w:szCs w:val="4"/>
              </w:rPr>
            </w:r>
          </w:p>
        </w:tc>
        <w:tc>
          <w:tcPr>
            <w:tcW w:w="7543" w:type="dxa"/>
            <w:gridSpan w:val="2"/>
            <w:tcBorders/>
            <w:vAlign w:val="center"/>
          </w:tcPr>
          <w:p>
            <w:pPr>
              <w:pStyle w:val="TableContents"/>
              <w:bidi w:val="0"/>
              <w:spacing w:before="0" w:after="283"/>
              <w:jc w:val="left"/>
              <w:rPr>
                <w:sz w:val="4"/>
                <w:szCs w:val="4"/>
              </w:rPr>
            </w:pPr>
            <w:r>
              <w:rPr>
                <w:sz w:val="4"/>
                <w:szCs w:val="4"/>
              </w:rPr>
            </w:r>
          </w:p>
        </w:tc>
      </w:tr>
      <w:tr>
        <w:trPr/>
        <w:tc>
          <w:tcPr>
            <w:tcW w:w="2662" w:type="dxa"/>
            <w:tcBorders/>
          </w:tcPr>
          <w:p>
            <w:pPr>
              <w:pStyle w:val="TableContents"/>
              <w:bidi w:val="0"/>
              <w:spacing w:before="0" w:after="0"/>
              <w:jc w:val="left"/>
              <w:rPr>
                <w:rFonts w:ascii="Times New Roman" w:hAnsi="Times New Roman"/>
                <w:sz w:val="20"/>
              </w:rPr>
            </w:pPr>
            <w:r>
              <w:rPr>
                <w:rFonts w:ascii="Times New Roman" w:hAnsi="Times New Roman"/>
                <w:sz w:val="20"/>
              </w:rPr>
              <w:t>Ticker / Exchange for Common Stock</w:t>
            </w:r>
          </w:p>
        </w:tc>
        <w:tc>
          <w:tcPr>
            <w:tcW w:w="120" w:type="dxa"/>
            <w:tcBorders/>
            <w:vAlign w:val="bottom"/>
          </w:tcPr>
          <w:p>
            <w:pPr>
              <w:pStyle w:val="TableContents"/>
              <w:bidi w:val="0"/>
              <w:spacing w:before="0" w:after="283"/>
              <w:jc w:val="left"/>
              <w:rPr/>
            </w:pPr>
            <w:r>
              <w:rPr/>
              <w:t>  </w:t>
            </w:r>
          </w:p>
        </w:tc>
        <w:tc>
          <w:tcPr>
            <w:tcW w:w="7423" w:type="dxa"/>
            <w:tcBorders/>
            <w:vAlign w:val="bottom"/>
          </w:tcPr>
          <w:p>
            <w:pPr>
              <w:pStyle w:val="TableContents"/>
              <w:bidi w:val="0"/>
              <w:spacing w:before="0" w:after="283"/>
              <w:jc w:val="left"/>
              <w:rPr/>
            </w:pPr>
            <w:r>
              <w:rPr/>
              <w:t>PCVX / Nasdaq Global Select Market (“NASDAQ”).</w:t>
            </w:r>
          </w:p>
        </w:tc>
      </w:tr>
      <w:tr>
        <w:trPr>
          <w:trHeight w:val="120" w:hRule="atLeast"/>
        </w:trPr>
        <w:tc>
          <w:tcPr>
            <w:tcW w:w="2662" w:type="dxa"/>
            <w:tcBorders/>
            <w:vAlign w:val="center"/>
          </w:tcPr>
          <w:p>
            <w:pPr>
              <w:pStyle w:val="TableContents"/>
              <w:bidi w:val="0"/>
              <w:spacing w:before="0" w:after="283"/>
              <w:jc w:val="left"/>
              <w:rPr>
                <w:sz w:val="4"/>
                <w:szCs w:val="4"/>
              </w:rPr>
            </w:pPr>
            <w:r>
              <w:rPr>
                <w:sz w:val="4"/>
                <w:szCs w:val="4"/>
              </w:rPr>
            </w:r>
          </w:p>
        </w:tc>
        <w:tc>
          <w:tcPr>
            <w:tcW w:w="7543" w:type="dxa"/>
            <w:gridSpan w:val="2"/>
            <w:tcBorders/>
            <w:vAlign w:val="center"/>
          </w:tcPr>
          <w:p>
            <w:pPr>
              <w:pStyle w:val="TableContents"/>
              <w:bidi w:val="0"/>
              <w:spacing w:before="0" w:after="283"/>
              <w:jc w:val="left"/>
              <w:rPr>
                <w:sz w:val="4"/>
                <w:szCs w:val="4"/>
              </w:rPr>
            </w:pPr>
            <w:r>
              <w:rPr>
                <w:sz w:val="4"/>
                <w:szCs w:val="4"/>
              </w:rPr>
            </w:r>
          </w:p>
        </w:tc>
      </w:tr>
      <w:tr>
        <w:trPr/>
        <w:tc>
          <w:tcPr>
            <w:tcW w:w="2662" w:type="dxa"/>
            <w:tcBorders/>
          </w:tcPr>
          <w:p>
            <w:pPr>
              <w:pStyle w:val="TableContents"/>
              <w:bidi w:val="0"/>
              <w:spacing w:before="0" w:after="0"/>
              <w:jc w:val="left"/>
              <w:rPr>
                <w:rFonts w:ascii="Times New Roman" w:hAnsi="Times New Roman"/>
                <w:sz w:val="20"/>
              </w:rPr>
            </w:pPr>
            <w:r>
              <w:rPr>
                <w:rFonts w:ascii="Times New Roman" w:hAnsi="Times New Roman"/>
                <w:sz w:val="20"/>
              </w:rPr>
              <w:t>Last Reported Sale Price per Share of Common Stock on NASDAQ on October 6, 2026</w:t>
            </w:r>
          </w:p>
        </w:tc>
        <w:tc>
          <w:tcPr>
            <w:tcW w:w="120" w:type="dxa"/>
            <w:tcBorders/>
            <w:vAlign w:val="bottom"/>
          </w:tcPr>
          <w:p>
            <w:pPr>
              <w:pStyle w:val="TableContents"/>
              <w:bidi w:val="0"/>
              <w:spacing w:before="0" w:after="283"/>
              <w:jc w:val="left"/>
              <w:rPr/>
            </w:pPr>
            <w:r>
              <w:rPr/>
              <w:t>  </w:t>
            </w:r>
          </w:p>
        </w:tc>
        <w:tc>
          <w:tcPr>
            <w:tcW w:w="7423" w:type="dxa"/>
            <w:tcBorders/>
            <w:vAlign w:val="bottom"/>
          </w:tcPr>
          <w:p>
            <w:pPr>
              <w:pStyle w:val="TableContents"/>
              <w:bidi w:val="0"/>
              <w:spacing w:before="0" w:after="283"/>
              <w:jc w:val="left"/>
              <w:rPr/>
            </w:pPr>
            <w:r>
              <w:rPr/>
              <w:t>$66.70.</w:t>
            </w:r>
          </w:p>
        </w:tc>
      </w:tr>
      <w:tr>
        <w:trPr>
          <w:trHeight w:val="120" w:hRule="atLeast"/>
        </w:trPr>
        <w:tc>
          <w:tcPr>
            <w:tcW w:w="2662" w:type="dxa"/>
            <w:tcBorders/>
            <w:vAlign w:val="center"/>
          </w:tcPr>
          <w:p>
            <w:pPr>
              <w:pStyle w:val="TableContents"/>
              <w:bidi w:val="0"/>
              <w:spacing w:before="0" w:after="283"/>
              <w:jc w:val="left"/>
              <w:rPr>
                <w:sz w:val="4"/>
                <w:szCs w:val="4"/>
              </w:rPr>
            </w:pPr>
            <w:r>
              <w:rPr>
                <w:sz w:val="4"/>
                <w:szCs w:val="4"/>
              </w:rPr>
            </w:r>
          </w:p>
        </w:tc>
        <w:tc>
          <w:tcPr>
            <w:tcW w:w="7543" w:type="dxa"/>
            <w:gridSpan w:val="2"/>
            <w:tcBorders/>
            <w:vAlign w:val="center"/>
          </w:tcPr>
          <w:p>
            <w:pPr>
              <w:pStyle w:val="TableContents"/>
              <w:bidi w:val="0"/>
              <w:spacing w:before="0" w:after="283"/>
              <w:jc w:val="left"/>
              <w:rPr>
                <w:sz w:val="4"/>
                <w:szCs w:val="4"/>
              </w:rPr>
            </w:pPr>
            <w:r>
              <w:rPr>
                <w:sz w:val="4"/>
                <w:szCs w:val="4"/>
              </w:rPr>
            </w:r>
          </w:p>
        </w:tc>
      </w:tr>
      <w:tr>
        <w:trPr/>
        <w:tc>
          <w:tcPr>
            <w:tcW w:w="2662" w:type="dxa"/>
            <w:tcBorders/>
          </w:tcPr>
          <w:p>
            <w:pPr>
              <w:pStyle w:val="TableContents"/>
              <w:bidi w:val="0"/>
              <w:spacing w:before="0" w:after="0"/>
              <w:jc w:val="left"/>
              <w:rPr>
                <w:rFonts w:ascii="Times New Roman" w:hAnsi="Times New Roman"/>
                <w:sz w:val="20"/>
              </w:rPr>
            </w:pPr>
            <w:r>
              <w:rPr>
                <w:rFonts w:ascii="Times New Roman" w:hAnsi="Times New Roman"/>
                <w:sz w:val="20"/>
              </w:rPr>
              <w:t>Public Offering Price per Share of Common Stock</w:t>
            </w:r>
          </w:p>
        </w:tc>
        <w:tc>
          <w:tcPr>
            <w:tcW w:w="120" w:type="dxa"/>
            <w:tcBorders/>
            <w:vAlign w:val="bottom"/>
          </w:tcPr>
          <w:p>
            <w:pPr>
              <w:pStyle w:val="TableContents"/>
              <w:bidi w:val="0"/>
              <w:spacing w:before="0" w:after="283"/>
              <w:jc w:val="left"/>
              <w:rPr/>
            </w:pPr>
            <w:r>
              <w:rPr/>
              <w:t>  </w:t>
            </w:r>
          </w:p>
        </w:tc>
        <w:tc>
          <w:tcPr>
            <w:tcW w:w="7423" w:type="dxa"/>
            <w:tcBorders/>
            <w:vAlign w:val="bottom"/>
          </w:tcPr>
          <w:p>
            <w:pPr>
              <w:pStyle w:val="TableContents"/>
              <w:bidi w:val="0"/>
              <w:spacing w:before="0" w:after="283"/>
              <w:jc w:val="left"/>
              <w:rPr/>
            </w:pPr>
            <w:r>
              <w:rPr/>
              <w:t>$64.00 per share of Common Stock.</w:t>
            </w:r>
          </w:p>
        </w:tc>
      </w:tr>
      <w:tr>
        <w:trPr>
          <w:trHeight w:val="120" w:hRule="atLeast"/>
        </w:trPr>
        <w:tc>
          <w:tcPr>
            <w:tcW w:w="2662" w:type="dxa"/>
            <w:tcBorders/>
            <w:vAlign w:val="center"/>
          </w:tcPr>
          <w:p>
            <w:pPr>
              <w:pStyle w:val="TableContents"/>
              <w:bidi w:val="0"/>
              <w:spacing w:before="0" w:after="283"/>
              <w:jc w:val="left"/>
              <w:rPr>
                <w:sz w:val="4"/>
                <w:szCs w:val="4"/>
              </w:rPr>
            </w:pPr>
            <w:r>
              <w:rPr>
                <w:sz w:val="4"/>
                <w:szCs w:val="4"/>
              </w:rPr>
            </w:r>
          </w:p>
        </w:tc>
        <w:tc>
          <w:tcPr>
            <w:tcW w:w="7543" w:type="dxa"/>
            <w:gridSpan w:val="2"/>
            <w:tcBorders/>
            <w:vAlign w:val="center"/>
          </w:tcPr>
          <w:p>
            <w:pPr>
              <w:pStyle w:val="TableContents"/>
              <w:bidi w:val="0"/>
              <w:spacing w:before="0" w:after="283"/>
              <w:jc w:val="left"/>
              <w:rPr>
                <w:sz w:val="4"/>
                <w:szCs w:val="4"/>
              </w:rPr>
            </w:pPr>
            <w:r>
              <w:rPr>
                <w:sz w:val="4"/>
                <w:szCs w:val="4"/>
              </w:rPr>
            </w:r>
          </w:p>
        </w:tc>
      </w:tr>
      <w:tr>
        <w:trPr/>
        <w:tc>
          <w:tcPr>
            <w:tcW w:w="2662" w:type="dxa"/>
            <w:tcBorders/>
          </w:tcPr>
          <w:p>
            <w:pPr>
              <w:pStyle w:val="TableContents"/>
              <w:bidi w:val="0"/>
              <w:spacing w:before="0" w:after="0"/>
              <w:jc w:val="left"/>
              <w:rPr>
                <w:rFonts w:ascii="Times New Roman" w:hAnsi="Times New Roman"/>
                <w:sz w:val="20"/>
              </w:rPr>
            </w:pPr>
            <w:r>
              <w:rPr>
                <w:rFonts w:ascii="Times New Roman" w:hAnsi="Times New Roman"/>
                <w:sz w:val="20"/>
              </w:rPr>
              <w:t>Public Offering Price per Pre-Funded Warrant</w:t>
            </w:r>
          </w:p>
        </w:tc>
        <w:tc>
          <w:tcPr>
            <w:tcW w:w="120" w:type="dxa"/>
            <w:tcBorders/>
            <w:vAlign w:val="bottom"/>
          </w:tcPr>
          <w:p>
            <w:pPr>
              <w:pStyle w:val="TableContents"/>
              <w:bidi w:val="0"/>
              <w:spacing w:before="0" w:after="283"/>
              <w:jc w:val="left"/>
              <w:rPr/>
            </w:pPr>
            <w:r>
              <w:rPr/>
              <w:t>  </w:t>
            </w:r>
          </w:p>
        </w:tc>
        <w:tc>
          <w:tcPr>
            <w:tcW w:w="7423" w:type="dxa"/>
            <w:tcBorders/>
          </w:tcPr>
          <w:p>
            <w:pPr>
              <w:pStyle w:val="TableContents"/>
              <w:bidi w:val="0"/>
              <w:spacing w:before="0" w:after="283"/>
              <w:jc w:val="left"/>
              <w:rPr/>
            </w:pPr>
            <w:r>
              <w:rPr/>
              <w:t>$63.999 per Pre-Funded Warrant, which equals the public offering price per share of Common Stock less the $0.001 per share exercise price of each Pre-Funded Warrant.</w:t>
            </w:r>
          </w:p>
        </w:tc>
      </w:tr>
      <w:tr>
        <w:trPr>
          <w:trHeight w:val="120" w:hRule="atLeast"/>
        </w:trPr>
        <w:tc>
          <w:tcPr>
            <w:tcW w:w="2662" w:type="dxa"/>
            <w:tcBorders/>
            <w:vAlign w:val="center"/>
          </w:tcPr>
          <w:p>
            <w:pPr>
              <w:pStyle w:val="TableContents"/>
              <w:bidi w:val="0"/>
              <w:spacing w:before="0" w:after="283"/>
              <w:jc w:val="left"/>
              <w:rPr>
                <w:sz w:val="4"/>
                <w:szCs w:val="4"/>
              </w:rPr>
            </w:pPr>
            <w:r>
              <w:rPr>
                <w:sz w:val="4"/>
                <w:szCs w:val="4"/>
              </w:rPr>
            </w:r>
          </w:p>
        </w:tc>
        <w:tc>
          <w:tcPr>
            <w:tcW w:w="7543" w:type="dxa"/>
            <w:gridSpan w:val="2"/>
            <w:tcBorders/>
            <w:vAlign w:val="center"/>
          </w:tcPr>
          <w:p>
            <w:pPr>
              <w:pStyle w:val="TableContents"/>
              <w:bidi w:val="0"/>
              <w:spacing w:before="0" w:after="283"/>
              <w:jc w:val="left"/>
              <w:rPr>
                <w:sz w:val="4"/>
                <w:szCs w:val="4"/>
              </w:rPr>
            </w:pPr>
            <w:r>
              <w:rPr>
                <w:sz w:val="4"/>
                <w:szCs w:val="4"/>
              </w:rPr>
            </w:r>
          </w:p>
        </w:tc>
      </w:tr>
      <w:tr>
        <w:trPr/>
        <w:tc>
          <w:tcPr>
            <w:tcW w:w="2662" w:type="dxa"/>
            <w:tcBorders/>
          </w:tcPr>
          <w:p>
            <w:pPr>
              <w:pStyle w:val="TableContents"/>
              <w:bidi w:val="0"/>
              <w:spacing w:before="0" w:after="0"/>
              <w:jc w:val="left"/>
              <w:rPr>
                <w:rFonts w:ascii="Times New Roman" w:hAnsi="Times New Roman"/>
                <w:sz w:val="20"/>
              </w:rPr>
            </w:pPr>
            <w:r>
              <w:rPr>
                <w:rFonts w:ascii="Times New Roman" w:hAnsi="Times New Roman"/>
                <w:sz w:val="20"/>
              </w:rPr>
              <w:t>Exercise Price per Pre-Funded Warrant</w:t>
            </w:r>
          </w:p>
        </w:tc>
        <w:tc>
          <w:tcPr>
            <w:tcW w:w="120" w:type="dxa"/>
            <w:tcBorders/>
            <w:vAlign w:val="bottom"/>
          </w:tcPr>
          <w:p>
            <w:pPr>
              <w:pStyle w:val="TableContents"/>
              <w:bidi w:val="0"/>
              <w:spacing w:before="0" w:after="283"/>
              <w:jc w:val="left"/>
              <w:rPr/>
            </w:pPr>
            <w:r>
              <w:rPr/>
              <w:t>  </w:t>
            </w:r>
          </w:p>
        </w:tc>
        <w:tc>
          <w:tcPr>
            <w:tcW w:w="7423" w:type="dxa"/>
            <w:tcBorders/>
          </w:tcPr>
          <w:p>
            <w:pPr>
              <w:pStyle w:val="TableContents"/>
              <w:bidi w:val="0"/>
              <w:spacing w:before="0" w:after="283"/>
              <w:jc w:val="left"/>
              <w:rPr/>
            </w:pPr>
            <w:r>
              <w:rPr/>
              <w:t>$0.001 per share of Common Stock, subject to adjustment as described in the Common Stock Preliminary Prospectus Supplement.</w:t>
            </w:r>
          </w:p>
        </w:tc>
      </w:tr>
      <w:tr>
        <w:trPr>
          <w:trHeight w:val="120" w:hRule="atLeast"/>
        </w:trPr>
        <w:tc>
          <w:tcPr>
            <w:tcW w:w="2662" w:type="dxa"/>
            <w:tcBorders/>
            <w:vAlign w:val="center"/>
          </w:tcPr>
          <w:p>
            <w:pPr>
              <w:pStyle w:val="TableContents"/>
              <w:bidi w:val="0"/>
              <w:spacing w:before="0" w:after="283"/>
              <w:jc w:val="left"/>
              <w:rPr>
                <w:sz w:val="4"/>
                <w:szCs w:val="4"/>
              </w:rPr>
            </w:pPr>
            <w:r>
              <w:rPr>
                <w:sz w:val="4"/>
                <w:szCs w:val="4"/>
              </w:rPr>
            </w:r>
          </w:p>
        </w:tc>
        <w:tc>
          <w:tcPr>
            <w:tcW w:w="7543" w:type="dxa"/>
            <w:gridSpan w:val="2"/>
            <w:tcBorders/>
            <w:vAlign w:val="center"/>
          </w:tcPr>
          <w:p>
            <w:pPr>
              <w:pStyle w:val="TableContents"/>
              <w:bidi w:val="0"/>
              <w:spacing w:before="0" w:after="283"/>
              <w:jc w:val="left"/>
              <w:rPr>
                <w:sz w:val="4"/>
                <w:szCs w:val="4"/>
              </w:rPr>
            </w:pPr>
            <w:r>
              <w:rPr>
                <w:sz w:val="4"/>
                <w:szCs w:val="4"/>
              </w:rPr>
            </w:r>
          </w:p>
        </w:tc>
      </w:tr>
      <w:tr>
        <w:trPr/>
        <w:tc>
          <w:tcPr>
            <w:tcW w:w="2662" w:type="dxa"/>
            <w:tcBorders/>
          </w:tcPr>
          <w:p>
            <w:pPr>
              <w:pStyle w:val="TableContents"/>
              <w:bidi w:val="0"/>
              <w:spacing w:before="0" w:after="283"/>
              <w:jc w:val="left"/>
              <w:rPr/>
            </w:pPr>
            <w:r>
              <w:rPr/>
              <w:t>Underwriting Discount</w:t>
            </w:r>
          </w:p>
        </w:tc>
        <w:tc>
          <w:tcPr>
            <w:tcW w:w="120" w:type="dxa"/>
            <w:tcBorders/>
            <w:vAlign w:val="bottom"/>
          </w:tcPr>
          <w:p>
            <w:pPr>
              <w:pStyle w:val="TableContents"/>
              <w:bidi w:val="0"/>
              <w:spacing w:before="0" w:after="283"/>
              <w:jc w:val="left"/>
              <w:rPr/>
            </w:pPr>
            <w:r>
              <w:rPr/>
              <w:t>  </w:t>
            </w:r>
          </w:p>
        </w:tc>
        <w:tc>
          <w:tcPr>
            <w:tcW w:w="7423" w:type="dxa"/>
            <w:tcBorders/>
          </w:tcPr>
          <w:p>
            <w:pPr>
              <w:pStyle w:val="TableContents"/>
              <w:bidi w:val="0"/>
              <w:spacing w:before="0" w:after="283"/>
              <w:jc w:val="left"/>
              <w:rPr/>
            </w:pPr>
            <w:r>
              <w:rPr/>
              <w:t>$3.36 per share of Common Stock or per Pre-Funded Warrant, and $26,250,000 in the aggregate (or $30,187,500 in the aggregate, if the underwriters of the Common Stock Offering fully exercise their option to purchase additional shares of Common Stock).</w:t>
            </w:r>
          </w:p>
        </w:tc>
      </w:tr>
      <w:tr>
        <w:trPr>
          <w:trHeight w:val="120" w:hRule="atLeast"/>
        </w:trPr>
        <w:tc>
          <w:tcPr>
            <w:tcW w:w="2662" w:type="dxa"/>
            <w:tcBorders/>
            <w:vAlign w:val="center"/>
          </w:tcPr>
          <w:p>
            <w:pPr>
              <w:pStyle w:val="TableContents"/>
              <w:bidi w:val="0"/>
              <w:spacing w:before="0" w:after="283"/>
              <w:jc w:val="left"/>
              <w:rPr>
                <w:sz w:val="4"/>
                <w:szCs w:val="4"/>
              </w:rPr>
            </w:pPr>
            <w:r>
              <w:rPr>
                <w:sz w:val="4"/>
                <w:szCs w:val="4"/>
              </w:rPr>
            </w:r>
          </w:p>
        </w:tc>
        <w:tc>
          <w:tcPr>
            <w:tcW w:w="7543" w:type="dxa"/>
            <w:gridSpan w:val="2"/>
            <w:tcBorders/>
            <w:vAlign w:val="center"/>
          </w:tcPr>
          <w:p>
            <w:pPr>
              <w:pStyle w:val="TableContents"/>
              <w:bidi w:val="0"/>
              <w:spacing w:before="0" w:after="283"/>
              <w:jc w:val="left"/>
              <w:rPr>
                <w:sz w:val="4"/>
                <w:szCs w:val="4"/>
              </w:rPr>
            </w:pPr>
            <w:r>
              <w:rPr>
                <w:sz w:val="4"/>
                <w:szCs w:val="4"/>
              </w:rPr>
            </w:r>
          </w:p>
        </w:tc>
      </w:tr>
      <w:tr>
        <w:trPr/>
        <w:tc>
          <w:tcPr>
            <w:tcW w:w="2662" w:type="dxa"/>
            <w:tcBorders/>
          </w:tcPr>
          <w:p>
            <w:pPr>
              <w:pStyle w:val="TableContents"/>
              <w:bidi w:val="0"/>
              <w:spacing w:before="0" w:after="283"/>
              <w:jc w:val="left"/>
              <w:rPr/>
            </w:pPr>
            <w:r>
              <w:rPr/>
              <w:t>Trade Date</w:t>
            </w:r>
          </w:p>
        </w:tc>
        <w:tc>
          <w:tcPr>
            <w:tcW w:w="120" w:type="dxa"/>
            <w:tcBorders/>
            <w:vAlign w:val="bottom"/>
          </w:tcPr>
          <w:p>
            <w:pPr>
              <w:pStyle w:val="TableContents"/>
              <w:bidi w:val="0"/>
              <w:spacing w:before="0" w:after="283"/>
              <w:jc w:val="left"/>
              <w:rPr/>
            </w:pPr>
            <w:r>
              <w:rPr/>
              <w:t>  </w:t>
            </w:r>
          </w:p>
        </w:tc>
        <w:tc>
          <w:tcPr>
            <w:tcW w:w="7423" w:type="dxa"/>
            <w:tcBorders/>
          </w:tcPr>
          <w:p>
            <w:pPr>
              <w:pStyle w:val="TableContents"/>
              <w:bidi w:val="0"/>
              <w:spacing w:before="0" w:after="283"/>
              <w:jc w:val="left"/>
              <w:rPr/>
            </w:pPr>
            <w:r>
              <w:rPr/>
              <w:t>October 7, 2026.</w:t>
            </w:r>
          </w:p>
        </w:tc>
      </w:tr>
      <w:tr>
        <w:trPr>
          <w:trHeight w:val="120" w:hRule="atLeast"/>
        </w:trPr>
        <w:tc>
          <w:tcPr>
            <w:tcW w:w="2662" w:type="dxa"/>
            <w:tcBorders/>
            <w:vAlign w:val="center"/>
          </w:tcPr>
          <w:p>
            <w:pPr>
              <w:pStyle w:val="TableContents"/>
              <w:bidi w:val="0"/>
              <w:spacing w:before="0" w:after="283"/>
              <w:jc w:val="left"/>
              <w:rPr>
                <w:sz w:val="4"/>
                <w:szCs w:val="4"/>
              </w:rPr>
            </w:pPr>
            <w:r>
              <w:rPr>
                <w:sz w:val="4"/>
                <w:szCs w:val="4"/>
              </w:rPr>
            </w:r>
          </w:p>
        </w:tc>
        <w:tc>
          <w:tcPr>
            <w:tcW w:w="7543" w:type="dxa"/>
            <w:gridSpan w:val="2"/>
            <w:tcBorders/>
            <w:vAlign w:val="center"/>
          </w:tcPr>
          <w:p>
            <w:pPr>
              <w:pStyle w:val="TableContents"/>
              <w:bidi w:val="0"/>
              <w:spacing w:before="0" w:after="283"/>
              <w:jc w:val="left"/>
              <w:rPr>
                <w:sz w:val="4"/>
                <w:szCs w:val="4"/>
              </w:rPr>
            </w:pPr>
            <w:r>
              <w:rPr>
                <w:sz w:val="4"/>
                <w:szCs w:val="4"/>
              </w:rPr>
            </w:r>
          </w:p>
        </w:tc>
      </w:tr>
      <w:tr>
        <w:trPr/>
        <w:tc>
          <w:tcPr>
            <w:tcW w:w="2662" w:type="dxa"/>
            <w:tcBorders/>
          </w:tcPr>
          <w:p>
            <w:pPr>
              <w:pStyle w:val="TableContents"/>
              <w:bidi w:val="0"/>
              <w:spacing w:before="0" w:after="283"/>
              <w:jc w:val="left"/>
              <w:rPr/>
            </w:pPr>
            <w:r>
              <w:rPr/>
              <w:t>Settlement Date</w:t>
            </w:r>
          </w:p>
        </w:tc>
        <w:tc>
          <w:tcPr>
            <w:tcW w:w="120" w:type="dxa"/>
            <w:tcBorders/>
            <w:vAlign w:val="bottom"/>
          </w:tcPr>
          <w:p>
            <w:pPr>
              <w:pStyle w:val="TableContents"/>
              <w:bidi w:val="0"/>
              <w:spacing w:before="0" w:after="283"/>
              <w:jc w:val="left"/>
              <w:rPr/>
            </w:pPr>
            <w:r>
              <w:rPr/>
              <w:t>  </w:t>
            </w:r>
          </w:p>
        </w:tc>
        <w:tc>
          <w:tcPr>
            <w:tcW w:w="7423" w:type="dxa"/>
            <w:tcBorders/>
          </w:tcPr>
          <w:p>
            <w:pPr>
              <w:pStyle w:val="TableContents"/>
              <w:bidi w:val="0"/>
              <w:spacing w:before="0" w:after="283"/>
              <w:jc w:val="left"/>
              <w:rPr/>
            </w:pPr>
            <w:r>
              <w:rPr/>
              <w:t>October 9, 2026, which is the second business day after the Trade Date (this settlement cycle being referred to as “T+2”). Under Rule 15c6-1 under the Securities Exchange Act of 1934, as amended (the “Exchange Act”), trades in the secondary market generally must settle in one business day, unless the parties to the trade expressly agree otherwise. Accordingly, purchasers who wish to trade the shares of Common Stock before the business day before the Settlement Date must, because the shares of Common Stock initially will settle T+2, specify an alternate settlement cycle at the time of such trade to prevent a failed settlement. Those purchasers should consult their advisors.</w:t>
            </w:r>
          </w:p>
        </w:tc>
      </w:tr>
      <w:tr>
        <w:trPr>
          <w:trHeight w:val="120" w:hRule="atLeast"/>
        </w:trPr>
        <w:tc>
          <w:tcPr>
            <w:tcW w:w="2662" w:type="dxa"/>
            <w:tcBorders/>
            <w:vAlign w:val="center"/>
          </w:tcPr>
          <w:p>
            <w:pPr>
              <w:pStyle w:val="TableContents"/>
              <w:bidi w:val="0"/>
              <w:spacing w:before="0" w:after="283"/>
              <w:jc w:val="left"/>
              <w:rPr>
                <w:sz w:val="4"/>
                <w:szCs w:val="4"/>
              </w:rPr>
            </w:pPr>
            <w:r>
              <w:rPr>
                <w:sz w:val="4"/>
                <w:szCs w:val="4"/>
              </w:rPr>
            </w:r>
          </w:p>
        </w:tc>
        <w:tc>
          <w:tcPr>
            <w:tcW w:w="7543" w:type="dxa"/>
            <w:gridSpan w:val="2"/>
            <w:tcBorders/>
            <w:vAlign w:val="center"/>
          </w:tcPr>
          <w:p>
            <w:pPr>
              <w:pStyle w:val="TableContents"/>
              <w:bidi w:val="0"/>
              <w:spacing w:before="0" w:after="283"/>
              <w:jc w:val="left"/>
              <w:rPr>
                <w:sz w:val="4"/>
                <w:szCs w:val="4"/>
              </w:rPr>
            </w:pPr>
            <w:r>
              <w:rPr>
                <w:sz w:val="4"/>
                <w:szCs w:val="4"/>
              </w:rPr>
            </w:r>
          </w:p>
        </w:tc>
      </w:tr>
      <w:tr>
        <w:trPr/>
        <w:tc>
          <w:tcPr>
            <w:tcW w:w="2662" w:type="dxa"/>
            <w:tcBorders/>
          </w:tcPr>
          <w:p>
            <w:pPr>
              <w:pStyle w:val="TableContents"/>
              <w:bidi w:val="0"/>
              <w:spacing w:before="0" w:after="283"/>
              <w:jc w:val="left"/>
              <w:rPr/>
            </w:pPr>
            <w:r>
              <w:rPr/>
              <w:t>Use of Proceeds</w:t>
            </w:r>
          </w:p>
        </w:tc>
        <w:tc>
          <w:tcPr>
            <w:tcW w:w="120" w:type="dxa"/>
            <w:tcBorders/>
            <w:vAlign w:val="bottom"/>
          </w:tcPr>
          <w:p>
            <w:pPr>
              <w:pStyle w:val="TableContents"/>
              <w:bidi w:val="0"/>
              <w:spacing w:before="0" w:after="283"/>
              <w:jc w:val="left"/>
              <w:rPr/>
            </w:pPr>
            <w:r>
              <w:rPr/>
              <w:t>  </w:t>
            </w:r>
          </w:p>
        </w:tc>
        <w:tc>
          <w:tcPr>
            <w:tcW w:w="7423" w:type="dxa"/>
            <w:tcBorders/>
          </w:tcPr>
          <w:p>
            <w:pPr>
              <w:pStyle w:val="TableContents"/>
              <w:bidi w:val="0"/>
              <w:spacing w:before="0" w:after="283"/>
              <w:jc w:val="left"/>
              <w:rPr/>
            </w:pPr>
            <w:r>
              <w:rPr/>
              <w:t>We estimate that the net proceeds to us from the Common Stock Offering will be approximately $473.3 million (or approximately $544.3 million if the underwriters of the Common Stock Offering fully exercise their option to purchase additional Common Stock), after deducting the underwriting discounts and commissions and our estimated offering expenses. We intend to use the combined net proceeds from the Common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- 2 -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902"/>
        <w:gridCol w:w="121"/>
        <w:gridCol w:w="7182"/>
      </w:tblGrid>
      <w:tr>
        <w:trPr/>
        <w:tc>
          <w:tcPr>
            <w:tcW w:w="29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182"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2902" w:type="dxa"/>
            <w:tcBorders/>
            <w:vAlign w:val="center"/>
          </w:tcPr>
          <w:p>
            <w:pPr>
              <w:pStyle w:val="TableContents"/>
              <w:bidi w:val="0"/>
              <w:spacing w:before="0" w:after="283"/>
              <w:jc w:val="left"/>
              <w:rPr>
                <w:sz w:val="4"/>
                <w:szCs w:val="4"/>
              </w:rPr>
            </w:pPr>
            <w:r>
              <w:rPr>
                <w:sz w:val="4"/>
                <w:szCs w:val="4"/>
              </w:rPr>
            </w:r>
          </w:p>
        </w:tc>
        <w:tc>
          <w:tcPr>
            <w:tcW w:w="7303" w:type="dxa"/>
            <w:gridSpan w:val="2"/>
            <w:tcBorders/>
            <w:vAlign w:val="center"/>
          </w:tcPr>
          <w:p>
            <w:pPr>
              <w:pStyle w:val="TableContents"/>
              <w:bidi w:val="0"/>
              <w:spacing w:before="0" w:after="283"/>
              <w:jc w:val="left"/>
              <w:rPr>
                <w:sz w:val="4"/>
                <w:szCs w:val="4"/>
              </w:rPr>
            </w:pPr>
            <w:r>
              <w:rPr>
                <w:sz w:val="4"/>
                <w:szCs w:val="4"/>
              </w:rPr>
            </w:r>
          </w:p>
        </w:tc>
      </w:tr>
      <w:tr>
        <w:trPr/>
        <w:tc>
          <w:tcPr>
            <w:tcW w:w="2902"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7182" w:type="dxa"/>
            <w:tcBorders/>
          </w:tcPr>
          <w:p>
            <w:pPr>
              <w:pStyle w:val="TableContents"/>
              <w:bidi w:val="0"/>
              <w:spacing w:before="0" w:after="283"/>
              <w:jc w:val="left"/>
              <w:rPr/>
            </w:pPr>
            <w:r>
              <w:rPr/>
              <w:t>Stock Offering and the Convertible Note Offering, together with our existing cash, cash equivalents and investments, to fund (i) clinical development of the VAX-31 adult and pediatric programs, including (a) for the ongoing VAX-31 adult Phase 3 program, the trial evaluating concomitant administration with a seasonal influenza vaccine (OPUS-2, enrolled), the trial in adults who have previously received a pneumococcal vaccine (OPUS-3, enrolled) and the planned manufacturing consistency study, and the anticipated topline safety, tolerability and immunogenicity data announcements from such studies, and (b) for the VAX-31 infant Phase 2 dosefinding study (enrolled), the anticipated topline data announcement(s) from the primary three-dose immunization series and booster dose; (ii) manufacturing scale-up, processes and supply to support our clinical studies and the potential commercial launches of our PCV programs, including (a) to establish additional manufacturing capacity to meet potential incremental supply requirements for the global adult and pediatric populations following the potential initial commercial launch of VAX-31 in adults in the United States and (b) to build inventory levels in advance of such potential commercial launch; (iii) medical affairs, commercial and systems-related investments to prepare for and execute the anticipated U.S. launch of VAX-31 in adults; (iv) ongoing research and development of our other earlystage pipeline vaccine candidates; and (v) general corporate purposes, including working capital, operating expenses and capital expenditures, as well as potential expansion of our research pipeline.</w:t>
            </w:r>
          </w:p>
        </w:tc>
      </w:tr>
      <w:tr>
        <w:trPr>
          <w:trHeight w:val="120" w:hRule="atLeast"/>
        </w:trPr>
        <w:tc>
          <w:tcPr>
            <w:tcW w:w="2902" w:type="dxa"/>
            <w:tcBorders/>
            <w:vAlign w:val="center"/>
          </w:tcPr>
          <w:p>
            <w:pPr>
              <w:pStyle w:val="TableContents"/>
              <w:bidi w:val="0"/>
              <w:spacing w:before="0" w:after="283"/>
              <w:jc w:val="left"/>
              <w:rPr>
                <w:sz w:val="4"/>
                <w:szCs w:val="4"/>
              </w:rPr>
            </w:pPr>
            <w:r>
              <w:rPr>
                <w:sz w:val="4"/>
                <w:szCs w:val="4"/>
              </w:rPr>
            </w:r>
          </w:p>
        </w:tc>
        <w:tc>
          <w:tcPr>
            <w:tcW w:w="7303" w:type="dxa"/>
            <w:gridSpan w:val="2"/>
            <w:tcBorders/>
            <w:vAlign w:val="center"/>
          </w:tcPr>
          <w:p>
            <w:pPr>
              <w:pStyle w:val="TableContents"/>
              <w:bidi w:val="0"/>
              <w:spacing w:before="0" w:after="283"/>
              <w:jc w:val="left"/>
              <w:rPr>
                <w:sz w:val="4"/>
                <w:szCs w:val="4"/>
              </w:rPr>
            </w:pPr>
            <w:r>
              <w:rPr>
                <w:sz w:val="4"/>
                <w:szCs w:val="4"/>
              </w:rPr>
            </w:r>
          </w:p>
        </w:tc>
      </w:tr>
      <w:tr>
        <w:trPr/>
        <w:tc>
          <w:tcPr>
            <w:tcW w:w="2902" w:type="dxa"/>
            <w:tcBorders/>
          </w:tcPr>
          <w:p>
            <w:pPr>
              <w:pStyle w:val="TableContents"/>
              <w:bidi w:val="0"/>
              <w:spacing w:before="0" w:after="283"/>
              <w:jc w:val="left"/>
              <w:rPr/>
            </w:pPr>
            <w:r>
              <w:rPr/>
              <w:t>Book-Running Managers</w:t>
            </w:r>
          </w:p>
        </w:tc>
        <w:tc>
          <w:tcPr>
            <w:tcW w:w="121" w:type="dxa"/>
            <w:tcBorders/>
            <w:vAlign w:val="bottom"/>
          </w:tcPr>
          <w:p>
            <w:pPr>
              <w:pStyle w:val="TableContents"/>
              <w:bidi w:val="0"/>
              <w:spacing w:before="0" w:after="283"/>
              <w:jc w:val="left"/>
              <w:rPr/>
            </w:pPr>
            <w:r>
              <w:rPr/>
              <w:t>  </w:t>
            </w:r>
          </w:p>
        </w:tc>
        <w:tc>
          <w:tcPr>
            <w:tcW w:w="7182" w:type="dxa"/>
            <w:tcBorders/>
          </w:tcPr>
          <w:p>
            <w:pPr>
              <w:pStyle w:val="TableContents"/>
              <w:bidi w:val="0"/>
              <w:spacing w:before="0" w:after="283"/>
              <w:jc w:val="left"/>
              <w:rPr/>
            </w:pPr>
            <w:r>
              <w:rPr/>
              <w:t>Jefferies LLC</w:t>
            </w:r>
          </w:p>
        </w:tc>
      </w:tr>
      <w:tr>
        <w:trPr/>
        <w:tc>
          <w:tcPr>
            <w:tcW w:w="2902"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7182" w:type="dxa"/>
            <w:tcBorders/>
          </w:tcPr>
          <w:p>
            <w:pPr>
              <w:pStyle w:val="TableContents"/>
              <w:bidi w:val="0"/>
              <w:spacing w:before="0" w:after="283"/>
              <w:jc w:val="left"/>
              <w:rPr/>
            </w:pPr>
            <w:r>
              <w:rPr/>
              <w:t>Leerink Partners LLC</w:t>
            </w:r>
          </w:p>
        </w:tc>
      </w:tr>
      <w:tr>
        <w:trPr/>
        <w:tc>
          <w:tcPr>
            <w:tcW w:w="2902"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7182" w:type="dxa"/>
            <w:tcBorders/>
          </w:tcPr>
          <w:p>
            <w:pPr>
              <w:pStyle w:val="TableContents"/>
              <w:bidi w:val="0"/>
              <w:spacing w:before="0" w:after="283"/>
              <w:jc w:val="left"/>
              <w:rPr/>
            </w:pPr>
            <w:r>
              <w:rPr/>
              <w:t>BofA Securities, Inc.</w:t>
            </w:r>
          </w:p>
        </w:tc>
      </w:tr>
      <w:tr>
        <w:trPr/>
        <w:tc>
          <w:tcPr>
            <w:tcW w:w="2902"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7182" w:type="dxa"/>
            <w:tcBorders/>
          </w:tcPr>
          <w:p>
            <w:pPr>
              <w:pStyle w:val="TableContents"/>
              <w:bidi w:val="0"/>
              <w:spacing w:before="0" w:after="283"/>
              <w:jc w:val="left"/>
              <w:rPr/>
            </w:pPr>
            <w:r>
              <w:rPr/>
              <w:t>Evercore Group L.L.C.</w:t>
            </w:r>
          </w:p>
        </w:tc>
      </w:tr>
      <w:tr>
        <w:trPr/>
        <w:tc>
          <w:tcPr>
            <w:tcW w:w="2902"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7182" w:type="dxa"/>
            <w:tcBorders/>
          </w:tcPr>
          <w:p>
            <w:pPr>
              <w:pStyle w:val="TableContents"/>
              <w:bidi w:val="0"/>
              <w:spacing w:before="0" w:after="283"/>
              <w:jc w:val="left"/>
              <w:rPr/>
            </w:pPr>
            <w:r>
              <w:rPr/>
              <w:t>Goldman Sachs &amp; Co. LLC</w:t>
            </w:r>
          </w:p>
        </w:tc>
      </w:tr>
      <w:tr>
        <w:trPr/>
        <w:tc>
          <w:tcPr>
            <w:tcW w:w="2902"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7182" w:type="dxa"/>
            <w:tcBorders/>
          </w:tcPr>
          <w:p>
            <w:pPr>
              <w:pStyle w:val="TableContents"/>
              <w:bidi w:val="0"/>
              <w:spacing w:before="0" w:after="283"/>
              <w:jc w:val="left"/>
              <w:rPr/>
            </w:pPr>
            <w:r>
              <w:rPr/>
              <w:t>Guggenheim Securities, LLC</w:t>
            </w:r>
          </w:p>
        </w:tc>
      </w:tr>
      <w:tr>
        <w:trPr>
          <w:trHeight w:val="120" w:hRule="atLeast"/>
        </w:trPr>
        <w:tc>
          <w:tcPr>
            <w:tcW w:w="2902" w:type="dxa"/>
            <w:tcBorders/>
            <w:vAlign w:val="center"/>
          </w:tcPr>
          <w:p>
            <w:pPr>
              <w:pStyle w:val="TableContents"/>
              <w:bidi w:val="0"/>
              <w:spacing w:before="0" w:after="283"/>
              <w:jc w:val="left"/>
              <w:rPr>
                <w:sz w:val="4"/>
                <w:szCs w:val="4"/>
              </w:rPr>
            </w:pPr>
            <w:r>
              <w:rPr>
                <w:sz w:val="4"/>
                <w:szCs w:val="4"/>
              </w:rPr>
            </w:r>
          </w:p>
        </w:tc>
        <w:tc>
          <w:tcPr>
            <w:tcW w:w="7303" w:type="dxa"/>
            <w:gridSpan w:val="2"/>
            <w:tcBorders/>
            <w:vAlign w:val="center"/>
          </w:tcPr>
          <w:p>
            <w:pPr>
              <w:pStyle w:val="TableContents"/>
              <w:bidi w:val="0"/>
              <w:spacing w:before="0" w:after="283"/>
              <w:jc w:val="left"/>
              <w:rPr>
                <w:sz w:val="4"/>
                <w:szCs w:val="4"/>
              </w:rPr>
            </w:pPr>
            <w:r>
              <w:rPr>
                <w:sz w:val="4"/>
                <w:szCs w:val="4"/>
              </w:rPr>
            </w:r>
          </w:p>
        </w:tc>
      </w:tr>
      <w:tr>
        <w:trPr/>
        <w:tc>
          <w:tcPr>
            <w:tcW w:w="2902" w:type="dxa"/>
            <w:tcBorders/>
          </w:tcPr>
          <w:p>
            <w:pPr>
              <w:pStyle w:val="TableContents"/>
              <w:bidi w:val="0"/>
              <w:spacing w:before="0" w:after="283"/>
              <w:jc w:val="left"/>
              <w:rPr/>
            </w:pPr>
            <w:r>
              <w:rPr/>
              <w:t>Bookrunner</w:t>
            </w:r>
          </w:p>
        </w:tc>
        <w:tc>
          <w:tcPr>
            <w:tcW w:w="121" w:type="dxa"/>
            <w:tcBorders/>
            <w:vAlign w:val="bottom"/>
          </w:tcPr>
          <w:p>
            <w:pPr>
              <w:pStyle w:val="TableContents"/>
              <w:bidi w:val="0"/>
              <w:spacing w:before="0" w:after="283"/>
              <w:jc w:val="left"/>
              <w:rPr/>
            </w:pPr>
            <w:r>
              <w:rPr/>
              <w:t>  </w:t>
            </w:r>
          </w:p>
        </w:tc>
        <w:tc>
          <w:tcPr>
            <w:tcW w:w="7182" w:type="dxa"/>
            <w:tcBorders/>
          </w:tcPr>
          <w:p>
            <w:pPr>
              <w:pStyle w:val="TableContents"/>
              <w:bidi w:val="0"/>
              <w:spacing w:before="0" w:after="283"/>
              <w:jc w:val="left"/>
              <w:rPr/>
            </w:pPr>
            <w:r>
              <w:rPr/>
              <w:t>Mizuho Securities USA LLC</w:t>
            </w:r>
          </w:p>
        </w:tc>
      </w:tr>
      <w:tr>
        <w:trPr>
          <w:trHeight w:val="120" w:hRule="atLeast"/>
        </w:trPr>
        <w:tc>
          <w:tcPr>
            <w:tcW w:w="2902" w:type="dxa"/>
            <w:tcBorders/>
            <w:vAlign w:val="center"/>
          </w:tcPr>
          <w:p>
            <w:pPr>
              <w:pStyle w:val="TableContents"/>
              <w:bidi w:val="0"/>
              <w:spacing w:before="0" w:after="283"/>
              <w:jc w:val="left"/>
              <w:rPr>
                <w:sz w:val="4"/>
                <w:szCs w:val="4"/>
              </w:rPr>
            </w:pPr>
            <w:r>
              <w:rPr>
                <w:sz w:val="4"/>
                <w:szCs w:val="4"/>
              </w:rPr>
            </w:r>
          </w:p>
        </w:tc>
        <w:tc>
          <w:tcPr>
            <w:tcW w:w="7303" w:type="dxa"/>
            <w:gridSpan w:val="2"/>
            <w:tcBorders/>
            <w:vAlign w:val="center"/>
          </w:tcPr>
          <w:p>
            <w:pPr>
              <w:pStyle w:val="TableContents"/>
              <w:bidi w:val="0"/>
              <w:spacing w:before="0" w:after="283"/>
              <w:jc w:val="left"/>
              <w:rPr>
                <w:sz w:val="4"/>
                <w:szCs w:val="4"/>
              </w:rPr>
            </w:pPr>
            <w:r>
              <w:rPr>
                <w:sz w:val="4"/>
                <w:szCs w:val="4"/>
              </w:rPr>
            </w:r>
          </w:p>
        </w:tc>
      </w:tr>
      <w:tr>
        <w:trPr/>
        <w:tc>
          <w:tcPr>
            <w:tcW w:w="2902" w:type="dxa"/>
            <w:tcBorders/>
          </w:tcPr>
          <w:p>
            <w:pPr>
              <w:pStyle w:val="TableContents"/>
              <w:bidi w:val="0"/>
              <w:spacing w:before="0" w:after="283"/>
              <w:jc w:val="left"/>
              <w:rPr/>
            </w:pPr>
            <w:r>
              <w:rPr/>
              <w:t>Lead Manager</w:t>
            </w:r>
          </w:p>
        </w:tc>
        <w:tc>
          <w:tcPr>
            <w:tcW w:w="121" w:type="dxa"/>
            <w:tcBorders/>
            <w:vAlign w:val="bottom"/>
          </w:tcPr>
          <w:p>
            <w:pPr>
              <w:pStyle w:val="TableContents"/>
              <w:bidi w:val="0"/>
              <w:spacing w:before="0" w:after="283"/>
              <w:jc w:val="left"/>
              <w:rPr/>
            </w:pPr>
            <w:r>
              <w:rPr/>
              <w:t>  </w:t>
            </w:r>
          </w:p>
        </w:tc>
        <w:tc>
          <w:tcPr>
            <w:tcW w:w="7182" w:type="dxa"/>
            <w:tcBorders/>
          </w:tcPr>
          <w:p>
            <w:pPr>
              <w:pStyle w:val="TableContents"/>
              <w:bidi w:val="0"/>
              <w:spacing w:before="0" w:after="283"/>
              <w:jc w:val="left"/>
              <w:rPr/>
            </w:pPr>
            <w:r>
              <w:rPr/>
              <w:t>BTIG, LLC</w:t>
            </w:r>
          </w:p>
        </w:tc>
      </w:tr>
      <w:tr>
        <w:trPr>
          <w:trHeight w:val="120" w:hRule="atLeast"/>
        </w:trPr>
        <w:tc>
          <w:tcPr>
            <w:tcW w:w="2902" w:type="dxa"/>
            <w:tcBorders/>
            <w:vAlign w:val="center"/>
          </w:tcPr>
          <w:p>
            <w:pPr>
              <w:pStyle w:val="TableContents"/>
              <w:bidi w:val="0"/>
              <w:spacing w:before="0" w:after="283"/>
              <w:jc w:val="left"/>
              <w:rPr>
                <w:sz w:val="4"/>
                <w:szCs w:val="4"/>
              </w:rPr>
            </w:pPr>
            <w:r>
              <w:rPr>
                <w:sz w:val="4"/>
                <w:szCs w:val="4"/>
              </w:rPr>
            </w:r>
          </w:p>
        </w:tc>
        <w:tc>
          <w:tcPr>
            <w:tcW w:w="7303" w:type="dxa"/>
            <w:gridSpan w:val="2"/>
            <w:tcBorders/>
            <w:vAlign w:val="center"/>
          </w:tcPr>
          <w:p>
            <w:pPr>
              <w:pStyle w:val="TableContents"/>
              <w:bidi w:val="0"/>
              <w:spacing w:before="0" w:after="283"/>
              <w:jc w:val="left"/>
              <w:rPr>
                <w:sz w:val="4"/>
                <w:szCs w:val="4"/>
              </w:rPr>
            </w:pPr>
            <w:r>
              <w:rPr>
                <w:sz w:val="4"/>
                <w:szCs w:val="4"/>
              </w:rPr>
            </w:r>
          </w:p>
        </w:tc>
      </w:tr>
      <w:tr>
        <w:trPr/>
        <w:tc>
          <w:tcPr>
            <w:tcW w:w="2902" w:type="dxa"/>
            <w:tcBorders/>
          </w:tcPr>
          <w:p>
            <w:pPr>
              <w:pStyle w:val="TableContents"/>
              <w:bidi w:val="0"/>
              <w:spacing w:before="0" w:after="0"/>
              <w:jc w:val="left"/>
              <w:rPr>
                <w:rFonts w:ascii="Times New Roman" w:hAnsi="Times New Roman"/>
                <w:sz w:val="20"/>
              </w:rPr>
            </w:pPr>
            <w:r>
              <w:rPr>
                <w:rFonts w:ascii="Times New Roman" w:hAnsi="Times New Roman"/>
                <w:sz w:val="20"/>
              </w:rPr>
              <w:t>CUSIP / ISIN Numbers for the Common Stock</w:t>
            </w:r>
          </w:p>
        </w:tc>
        <w:tc>
          <w:tcPr>
            <w:tcW w:w="121" w:type="dxa"/>
            <w:tcBorders/>
            <w:vAlign w:val="bottom"/>
          </w:tcPr>
          <w:p>
            <w:pPr>
              <w:pStyle w:val="TableContents"/>
              <w:bidi w:val="0"/>
              <w:spacing w:before="0" w:after="283"/>
              <w:jc w:val="left"/>
              <w:rPr/>
            </w:pPr>
            <w:r>
              <w:rPr/>
              <w:t>  </w:t>
            </w:r>
          </w:p>
        </w:tc>
        <w:tc>
          <w:tcPr>
            <w:tcW w:w="7182" w:type="dxa"/>
            <w:tcBorders/>
            <w:vAlign w:val="bottom"/>
          </w:tcPr>
          <w:p>
            <w:pPr>
              <w:pStyle w:val="TableContents"/>
              <w:bidi w:val="0"/>
              <w:spacing w:before="0" w:after="283"/>
              <w:jc w:val="left"/>
              <w:rPr/>
            </w:pPr>
            <w:r>
              <w:rPr/>
              <w:t>92243G108 / US92243G1085.</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Convertible Note Offering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30"/>
        <w:gridCol w:w="120"/>
        <w:gridCol w:w="7155"/>
      </w:tblGrid>
      <w:tr>
        <w:trPr/>
        <w:tc>
          <w:tcPr>
            <w:tcW w:w="293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155"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2930" w:type="dxa"/>
            <w:tcBorders/>
            <w:vAlign w:val="center"/>
          </w:tcPr>
          <w:p>
            <w:pPr>
              <w:pStyle w:val="TableContents"/>
              <w:bidi w:val="0"/>
              <w:spacing w:before="0" w:after="283"/>
              <w:jc w:val="left"/>
              <w:rPr>
                <w:sz w:val="4"/>
                <w:szCs w:val="4"/>
              </w:rPr>
            </w:pPr>
            <w:r>
              <w:rPr>
                <w:sz w:val="4"/>
                <w:szCs w:val="4"/>
              </w:rPr>
            </w:r>
          </w:p>
        </w:tc>
        <w:tc>
          <w:tcPr>
            <w:tcW w:w="7275" w:type="dxa"/>
            <w:gridSpan w:val="2"/>
            <w:tcBorders/>
            <w:vAlign w:val="center"/>
          </w:tcPr>
          <w:p>
            <w:pPr>
              <w:pStyle w:val="TableContents"/>
              <w:bidi w:val="0"/>
              <w:spacing w:before="0" w:after="283"/>
              <w:jc w:val="left"/>
              <w:rPr>
                <w:sz w:val="4"/>
                <w:szCs w:val="4"/>
              </w:rPr>
            </w:pPr>
            <w:r>
              <w:rPr>
                <w:sz w:val="4"/>
                <w:szCs w:val="4"/>
              </w:rPr>
            </w:r>
          </w:p>
        </w:tc>
      </w:tr>
      <w:tr>
        <w:trPr/>
        <w:tc>
          <w:tcPr>
            <w:tcW w:w="2930" w:type="dxa"/>
            <w:tcBorders/>
          </w:tcPr>
          <w:p>
            <w:pPr>
              <w:pStyle w:val="TableContents"/>
              <w:bidi w:val="0"/>
              <w:spacing w:before="0" w:after="283"/>
              <w:jc w:val="left"/>
              <w:rPr/>
            </w:pPr>
            <w:r>
              <w:rPr/>
              <w:t>Issuer</w:t>
            </w:r>
          </w:p>
        </w:tc>
        <w:tc>
          <w:tcPr>
            <w:tcW w:w="120" w:type="dxa"/>
            <w:tcBorders/>
            <w:vAlign w:val="bottom"/>
          </w:tcPr>
          <w:p>
            <w:pPr>
              <w:pStyle w:val="TableContents"/>
              <w:bidi w:val="0"/>
              <w:spacing w:before="0" w:after="283"/>
              <w:jc w:val="left"/>
              <w:rPr/>
            </w:pPr>
            <w:r>
              <w:rPr/>
              <w:t>  </w:t>
            </w:r>
          </w:p>
        </w:tc>
        <w:tc>
          <w:tcPr>
            <w:tcW w:w="7155" w:type="dxa"/>
            <w:tcBorders/>
          </w:tcPr>
          <w:p>
            <w:pPr>
              <w:pStyle w:val="TableContents"/>
              <w:bidi w:val="0"/>
              <w:spacing w:before="0" w:after="283"/>
              <w:jc w:val="left"/>
              <w:rPr/>
            </w:pPr>
            <w:r>
              <w:rPr/>
              <w:t>Vaxcyte, Inc.</w:t>
            </w:r>
          </w:p>
        </w:tc>
      </w:tr>
      <w:tr>
        <w:trPr>
          <w:trHeight w:val="120" w:hRule="atLeast"/>
        </w:trPr>
        <w:tc>
          <w:tcPr>
            <w:tcW w:w="2930" w:type="dxa"/>
            <w:tcBorders/>
            <w:vAlign w:val="center"/>
          </w:tcPr>
          <w:p>
            <w:pPr>
              <w:pStyle w:val="TableContents"/>
              <w:bidi w:val="0"/>
              <w:spacing w:before="0" w:after="283"/>
              <w:jc w:val="left"/>
              <w:rPr>
                <w:sz w:val="4"/>
                <w:szCs w:val="4"/>
              </w:rPr>
            </w:pPr>
            <w:r>
              <w:rPr>
                <w:sz w:val="4"/>
                <w:szCs w:val="4"/>
              </w:rPr>
            </w:r>
          </w:p>
        </w:tc>
        <w:tc>
          <w:tcPr>
            <w:tcW w:w="7275" w:type="dxa"/>
            <w:gridSpan w:val="2"/>
            <w:tcBorders/>
            <w:vAlign w:val="center"/>
          </w:tcPr>
          <w:p>
            <w:pPr>
              <w:pStyle w:val="TableContents"/>
              <w:bidi w:val="0"/>
              <w:spacing w:before="0" w:after="283"/>
              <w:jc w:val="left"/>
              <w:rPr>
                <w:sz w:val="4"/>
                <w:szCs w:val="4"/>
              </w:rPr>
            </w:pPr>
            <w:r>
              <w:rPr>
                <w:sz w:val="4"/>
                <w:szCs w:val="4"/>
              </w:rPr>
            </w:r>
          </w:p>
        </w:tc>
      </w:tr>
      <w:tr>
        <w:trPr/>
        <w:tc>
          <w:tcPr>
            <w:tcW w:w="2930" w:type="dxa"/>
            <w:tcBorders/>
          </w:tcPr>
          <w:p>
            <w:pPr>
              <w:pStyle w:val="TableContents"/>
              <w:bidi w:val="0"/>
              <w:spacing w:before="0" w:after="0"/>
              <w:jc w:val="left"/>
              <w:rPr>
                <w:rFonts w:ascii="Times New Roman" w:hAnsi="Times New Roman"/>
                <w:sz w:val="20"/>
              </w:rPr>
            </w:pPr>
            <w:r>
              <w:rPr>
                <w:rFonts w:ascii="Times New Roman" w:hAnsi="Times New Roman"/>
                <w:sz w:val="20"/>
              </w:rPr>
              <w:t>Ticker / Exchange for Common Stock</w:t>
            </w:r>
          </w:p>
        </w:tc>
        <w:tc>
          <w:tcPr>
            <w:tcW w:w="120" w:type="dxa"/>
            <w:tcBorders/>
            <w:vAlign w:val="bottom"/>
          </w:tcPr>
          <w:p>
            <w:pPr>
              <w:pStyle w:val="TableContents"/>
              <w:bidi w:val="0"/>
              <w:spacing w:before="0" w:after="283"/>
              <w:jc w:val="left"/>
              <w:rPr/>
            </w:pPr>
            <w:r>
              <w:rPr/>
              <w:t>  </w:t>
            </w:r>
          </w:p>
        </w:tc>
        <w:tc>
          <w:tcPr>
            <w:tcW w:w="7155" w:type="dxa"/>
            <w:tcBorders/>
            <w:vAlign w:val="bottom"/>
          </w:tcPr>
          <w:p>
            <w:pPr>
              <w:pStyle w:val="TableContents"/>
              <w:bidi w:val="0"/>
              <w:spacing w:before="0" w:after="283"/>
              <w:jc w:val="left"/>
              <w:rPr/>
            </w:pPr>
            <w:r>
              <w:rPr/>
              <w:t>PCVX / NASDAQ.</w:t>
            </w:r>
          </w:p>
        </w:tc>
      </w:tr>
      <w:tr>
        <w:trPr>
          <w:trHeight w:val="120" w:hRule="atLeast"/>
        </w:trPr>
        <w:tc>
          <w:tcPr>
            <w:tcW w:w="2930" w:type="dxa"/>
            <w:tcBorders/>
            <w:vAlign w:val="center"/>
          </w:tcPr>
          <w:p>
            <w:pPr>
              <w:pStyle w:val="TableContents"/>
              <w:bidi w:val="0"/>
              <w:spacing w:before="0" w:after="283"/>
              <w:jc w:val="left"/>
              <w:rPr>
                <w:sz w:val="4"/>
                <w:szCs w:val="4"/>
              </w:rPr>
            </w:pPr>
            <w:r>
              <w:rPr>
                <w:sz w:val="4"/>
                <w:szCs w:val="4"/>
              </w:rPr>
            </w:r>
          </w:p>
        </w:tc>
        <w:tc>
          <w:tcPr>
            <w:tcW w:w="7275" w:type="dxa"/>
            <w:gridSpan w:val="2"/>
            <w:tcBorders/>
            <w:vAlign w:val="center"/>
          </w:tcPr>
          <w:p>
            <w:pPr>
              <w:pStyle w:val="TableContents"/>
              <w:bidi w:val="0"/>
              <w:spacing w:before="0" w:after="283"/>
              <w:jc w:val="left"/>
              <w:rPr>
                <w:sz w:val="4"/>
                <w:szCs w:val="4"/>
              </w:rPr>
            </w:pPr>
            <w:r>
              <w:rPr>
                <w:sz w:val="4"/>
                <w:szCs w:val="4"/>
              </w:rPr>
            </w:r>
          </w:p>
        </w:tc>
      </w:tr>
      <w:tr>
        <w:trPr/>
        <w:tc>
          <w:tcPr>
            <w:tcW w:w="2930" w:type="dxa"/>
            <w:tcBorders/>
          </w:tcPr>
          <w:p>
            <w:pPr>
              <w:pStyle w:val="TableContents"/>
              <w:bidi w:val="0"/>
              <w:spacing w:before="0" w:after="283"/>
              <w:jc w:val="left"/>
              <w:rPr/>
            </w:pPr>
            <w:r>
              <w:rPr/>
              <w:t>Trade Date</w:t>
            </w:r>
          </w:p>
        </w:tc>
        <w:tc>
          <w:tcPr>
            <w:tcW w:w="120" w:type="dxa"/>
            <w:tcBorders/>
            <w:vAlign w:val="bottom"/>
          </w:tcPr>
          <w:p>
            <w:pPr>
              <w:pStyle w:val="TableContents"/>
              <w:bidi w:val="0"/>
              <w:spacing w:before="0" w:after="283"/>
              <w:jc w:val="left"/>
              <w:rPr/>
            </w:pPr>
            <w:r>
              <w:rPr/>
              <w:t>  </w:t>
            </w:r>
          </w:p>
        </w:tc>
        <w:tc>
          <w:tcPr>
            <w:tcW w:w="7155" w:type="dxa"/>
            <w:tcBorders/>
          </w:tcPr>
          <w:p>
            <w:pPr>
              <w:pStyle w:val="TableContents"/>
              <w:bidi w:val="0"/>
              <w:spacing w:before="0" w:after="283"/>
              <w:jc w:val="left"/>
              <w:rPr/>
            </w:pPr>
            <w:r>
              <w:rPr/>
              <w:t>October 7, 2026.</w:t>
            </w:r>
          </w:p>
        </w:tc>
      </w:tr>
      <w:tr>
        <w:trPr>
          <w:trHeight w:val="120" w:hRule="atLeast"/>
        </w:trPr>
        <w:tc>
          <w:tcPr>
            <w:tcW w:w="2930" w:type="dxa"/>
            <w:tcBorders/>
            <w:vAlign w:val="center"/>
          </w:tcPr>
          <w:p>
            <w:pPr>
              <w:pStyle w:val="TableContents"/>
              <w:bidi w:val="0"/>
              <w:spacing w:before="0" w:after="283"/>
              <w:jc w:val="left"/>
              <w:rPr>
                <w:sz w:val="4"/>
                <w:szCs w:val="4"/>
              </w:rPr>
            </w:pPr>
            <w:r>
              <w:rPr>
                <w:sz w:val="4"/>
                <w:szCs w:val="4"/>
              </w:rPr>
            </w:r>
          </w:p>
        </w:tc>
        <w:tc>
          <w:tcPr>
            <w:tcW w:w="7275" w:type="dxa"/>
            <w:gridSpan w:val="2"/>
            <w:tcBorders/>
            <w:vAlign w:val="center"/>
          </w:tcPr>
          <w:p>
            <w:pPr>
              <w:pStyle w:val="TableContents"/>
              <w:bidi w:val="0"/>
              <w:spacing w:before="0" w:after="283"/>
              <w:jc w:val="left"/>
              <w:rPr>
                <w:sz w:val="4"/>
                <w:szCs w:val="4"/>
              </w:rPr>
            </w:pPr>
            <w:r>
              <w:rPr>
                <w:sz w:val="4"/>
                <w:szCs w:val="4"/>
              </w:rPr>
            </w:r>
          </w:p>
        </w:tc>
      </w:tr>
      <w:tr>
        <w:trPr/>
        <w:tc>
          <w:tcPr>
            <w:tcW w:w="2930" w:type="dxa"/>
            <w:tcBorders/>
          </w:tcPr>
          <w:p>
            <w:pPr>
              <w:pStyle w:val="TableContents"/>
              <w:bidi w:val="0"/>
              <w:spacing w:before="0" w:after="283"/>
              <w:jc w:val="left"/>
              <w:rPr/>
            </w:pPr>
            <w:r>
              <w:rPr/>
              <w:t>Settlement Date</w:t>
            </w:r>
          </w:p>
        </w:tc>
        <w:tc>
          <w:tcPr>
            <w:tcW w:w="120" w:type="dxa"/>
            <w:tcBorders/>
            <w:vAlign w:val="bottom"/>
          </w:tcPr>
          <w:p>
            <w:pPr>
              <w:pStyle w:val="TableContents"/>
              <w:bidi w:val="0"/>
              <w:spacing w:before="0" w:after="283"/>
              <w:jc w:val="left"/>
              <w:rPr/>
            </w:pPr>
            <w:r>
              <w:rPr/>
              <w:t>  </w:t>
            </w:r>
          </w:p>
        </w:tc>
        <w:tc>
          <w:tcPr>
            <w:tcW w:w="7155" w:type="dxa"/>
            <w:tcBorders/>
          </w:tcPr>
          <w:p>
            <w:pPr>
              <w:pStyle w:val="TableContents"/>
              <w:bidi w:val="0"/>
              <w:spacing w:before="0" w:after="283"/>
              <w:jc w:val="left"/>
              <w:rPr/>
            </w:pPr>
            <w:r>
              <w:rPr/>
              <w:t>October 9, 2026, which is the second business day after the Trade Date (this settlement cycle being referred to as “T+2”). Under Rule 15c6-1 under the Exchange Act, trades in the secondary market generally must settle in one business day, unless the parties to the trade expressly agree otherwise. Accordingly, purchasers who wish to trade the Notes before the business day before the Settlement Date must, because the Notes initially will settle T+2, specify an alternate settlement cycle at the time of such trade to prevent a failed settlement. Those purchasers should consult their advisors.</w:t>
            </w:r>
          </w:p>
        </w:tc>
      </w:tr>
      <w:tr>
        <w:trPr>
          <w:trHeight w:val="120" w:hRule="atLeast"/>
        </w:trPr>
        <w:tc>
          <w:tcPr>
            <w:tcW w:w="2930" w:type="dxa"/>
            <w:tcBorders/>
            <w:vAlign w:val="center"/>
          </w:tcPr>
          <w:p>
            <w:pPr>
              <w:pStyle w:val="TableContents"/>
              <w:bidi w:val="0"/>
              <w:spacing w:before="0" w:after="283"/>
              <w:jc w:val="left"/>
              <w:rPr>
                <w:sz w:val="4"/>
                <w:szCs w:val="4"/>
              </w:rPr>
            </w:pPr>
            <w:r>
              <w:rPr>
                <w:sz w:val="4"/>
                <w:szCs w:val="4"/>
              </w:rPr>
            </w:r>
          </w:p>
        </w:tc>
        <w:tc>
          <w:tcPr>
            <w:tcW w:w="7275" w:type="dxa"/>
            <w:gridSpan w:val="2"/>
            <w:tcBorders/>
            <w:vAlign w:val="center"/>
          </w:tcPr>
          <w:p>
            <w:pPr>
              <w:pStyle w:val="TableContents"/>
              <w:bidi w:val="0"/>
              <w:spacing w:before="0" w:after="283"/>
              <w:jc w:val="left"/>
              <w:rPr>
                <w:sz w:val="4"/>
                <w:szCs w:val="4"/>
              </w:rPr>
            </w:pPr>
            <w:r>
              <w:rPr>
                <w:sz w:val="4"/>
                <w:szCs w:val="4"/>
              </w:rPr>
            </w:r>
          </w:p>
        </w:tc>
      </w:tr>
      <w:tr>
        <w:trPr/>
        <w:tc>
          <w:tcPr>
            <w:tcW w:w="2930" w:type="dxa"/>
            <w:tcBorders/>
          </w:tcPr>
          <w:p>
            <w:pPr>
              <w:pStyle w:val="TableContents"/>
              <w:bidi w:val="0"/>
              <w:spacing w:before="0" w:after="283"/>
              <w:jc w:val="left"/>
              <w:rPr/>
            </w:pPr>
            <w:r>
              <w:rPr/>
              <w:t>Notes</w:t>
            </w:r>
          </w:p>
        </w:tc>
        <w:tc>
          <w:tcPr>
            <w:tcW w:w="120" w:type="dxa"/>
            <w:tcBorders/>
            <w:vAlign w:val="bottom"/>
          </w:tcPr>
          <w:p>
            <w:pPr>
              <w:pStyle w:val="TableContents"/>
              <w:bidi w:val="0"/>
              <w:spacing w:before="0" w:after="283"/>
              <w:jc w:val="left"/>
              <w:rPr/>
            </w:pPr>
            <w:r>
              <w:rPr/>
              <w:t>  </w:t>
            </w:r>
          </w:p>
        </w:tc>
        <w:tc>
          <w:tcPr>
            <w:tcW w:w="7155" w:type="dxa"/>
            <w:tcBorders/>
          </w:tcPr>
          <w:p>
            <w:pPr>
              <w:pStyle w:val="TableContents"/>
              <w:bidi w:val="0"/>
              <w:spacing w:before="0" w:after="283"/>
              <w:jc w:val="left"/>
              <w:rPr/>
            </w:pPr>
            <w:r>
              <w:rPr/>
              <w:t>1.50% convertible senior notes due 2032 (the “Notes”).</w:t>
            </w:r>
          </w:p>
        </w:tc>
      </w:tr>
      <w:tr>
        <w:trPr>
          <w:trHeight w:val="120" w:hRule="atLeast"/>
        </w:trPr>
        <w:tc>
          <w:tcPr>
            <w:tcW w:w="2930" w:type="dxa"/>
            <w:tcBorders/>
            <w:vAlign w:val="center"/>
          </w:tcPr>
          <w:p>
            <w:pPr>
              <w:pStyle w:val="TableContents"/>
              <w:bidi w:val="0"/>
              <w:spacing w:before="0" w:after="283"/>
              <w:jc w:val="left"/>
              <w:rPr>
                <w:sz w:val="4"/>
                <w:szCs w:val="4"/>
              </w:rPr>
            </w:pPr>
            <w:r>
              <w:rPr>
                <w:sz w:val="4"/>
                <w:szCs w:val="4"/>
              </w:rPr>
            </w:r>
          </w:p>
        </w:tc>
        <w:tc>
          <w:tcPr>
            <w:tcW w:w="7275" w:type="dxa"/>
            <w:gridSpan w:val="2"/>
            <w:tcBorders/>
            <w:vAlign w:val="center"/>
          </w:tcPr>
          <w:p>
            <w:pPr>
              <w:pStyle w:val="TableContents"/>
              <w:bidi w:val="0"/>
              <w:spacing w:before="0" w:after="283"/>
              <w:jc w:val="left"/>
              <w:rPr>
                <w:sz w:val="4"/>
                <w:szCs w:val="4"/>
              </w:rPr>
            </w:pPr>
            <w:r>
              <w:rPr>
                <w:sz w:val="4"/>
                <w:szCs w:val="4"/>
              </w:rPr>
            </w:r>
          </w:p>
        </w:tc>
      </w:tr>
      <w:tr>
        <w:trPr/>
        <w:tc>
          <w:tcPr>
            <w:tcW w:w="2930" w:type="dxa"/>
            <w:tcBorders/>
          </w:tcPr>
          <w:p>
            <w:pPr>
              <w:pStyle w:val="TableContents"/>
              <w:bidi w:val="0"/>
              <w:spacing w:before="0" w:after="283"/>
              <w:jc w:val="left"/>
              <w:rPr/>
            </w:pPr>
            <w:r>
              <w:rPr/>
              <w:t>Principal Amount</w:t>
            </w:r>
          </w:p>
        </w:tc>
        <w:tc>
          <w:tcPr>
            <w:tcW w:w="120" w:type="dxa"/>
            <w:tcBorders/>
            <w:vAlign w:val="bottom"/>
          </w:tcPr>
          <w:p>
            <w:pPr>
              <w:pStyle w:val="TableContents"/>
              <w:bidi w:val="0"/>
              <w:spacing w:before="0" w:after="283"/>
              <w:jc w:val="left"/>
              <w:rPr/>
            </w:pPr>
            <w:r>
              <w:rPr/>
              <w:t>  </w:t>
            </w:r>
          </w:p>
        </w:tc>
        <w:tc>
          <w:tcPr>
            <w:tcW w:w="7155" w:type="dxa"/>
            <w:tcBorders/>
          </w:tcPr>
          <w:p>
            <w:pPr>
              <w:pStyle w:val="TableContents"/>
              <w:bidi w:val="0"/>
              <w:spacing w:before="0" w:after="283"/>
              <w:jc w:val="left"/>
              <w:rPr/>
            </w:pPr>
            <w:r>
              <w:rPr/>
              <w:t>$500,000,000 (or, if the underwriters of the Convertible Note Offering fully exercise their over-allotment option to purchase additional Notes, $575,000,000) aggregate principal amount of Notes.</w:t>
            </w:r>
          </w:p>
        </w:tc>
      </w:tr>
      <w:tr>
        <w:trPr>
          <w:trHeight w:val="120" w:hRule="atLeast"/>
        </w:trPr>
        <w:tc>
          <w:tcPr>
            <w:tcW w:w="2930" w:type="dxa"/>
            <w:tcBorders/>
            <w:vAlign w:val="center"/>
          </w:tcPr>
          <w:p>
            <w:pPr>
              <w:pStyle w:val="TableContents"/>
              <w:bidi w:val="0"/>
              <w:spacing w:before="0" w:after="283"/>
              <w:jc w:val="left"/>
              <w:rPr>
                <w:sz w:val="4"/>
                <w:szCs w:val="4"/>
              </w:rPr>
            </w:pPr>
            <w:r>
              <w:rPr>
                <w:sz w:val="4"/>
                <w:szCs w:val="4"/>
              </w:rPr>
            </w:r>
          </w:p>
        </w:tc>
        <w:tc>
          <w:tcPr>
            <w:tcW w:w="7275" w:type="dxa"/>
            <w:gridSpan w:val="2"/>
            <w:tcBorders/>
            <w:vAlign w:val="center"/>
          </w:tcPr>
          <w:p>
            <w:pPr>
              <w:pStyle w:val="TableContents"/>
              <w:bidi w:val="0"/>
              <w:spacing w:before="0" w:after="283"/>
              <w:jc w:val="left"/>
              <w:rPr>
                <w:sz w:val="4"/>
                <w:szCs w:val="4"/>
              </w:rPr>
            </w:pPr>
            <w:r>
              <w:rPr>
                <w:sz w:val="4"/>
                <w:szCs w:val="4"/>
              </w:rPr>
            </w:r>
          </w:p>
        </w:tc>
      </w:tr>
      <w:tr>
        <w:trPr/>
        <w:tc>
          <w:tcPr>
            <w:tcW w:w="2930" w:type="dxa"/>
            <w:tcBorders/>
          </w:tcPr>
          <w:p>
            <w:pPr>
              <w:pStyle w:val="TableContents"/>
              <w:bidi w:val="0"/>
              <w:spacing w:before="0" w:after="283"/>
              <w:jc w:val="left"/>
              <w:rPr/>
            </w:pPr>
            <w:r>
              <w:rPr/>
              <w:t>Public Offering Price</w:t>
            </w:r>
          </w:p>
        </w:tc>
        <w:tc>
          <w:tcPr>
            <w:tcW w:w="120" w:type="dxa"/>
            <w:tcBorders/>
            <w:vAlign w:val="bottom"/>
          </w:tcPr>
          <w:p>
            <w:pPr>
              <w:pStyle w:val="TableContents"/>
              <w:bidi w:val="0"/>
              <w:spacing w:before="0" w:after="283"/>
              <w:jc w:val="left"/>
              <w:rPr/>
            </w:pPr>
            <w:r>
              <w:rPr/>
              <w:t>  </w:t>
            </w:r>
          </w:p>
        </w:tc>
        <w:tc>
          <w:tcPr>
            <w:tcW w:w="7155" w:type="dxa"/>
            <w:tcBorders/>
          </w:tcPr>
          <w:p>
            <w:pPr>
              <w:pStyle w:val="TableContents"/>
              <w:bidi w:val="0"/>
              <w:spacing w:before="0" w:after="283"/>
              <w:jc w:val="left"/>
              <w:rPr/>
            </w:pPr>
            <w:r>
              <w:rPr/>
              <w:t>100% of the principal amount of the Notes, plus accrued interest, if any, from the Settlement Date.</w:t>
            </w:r>
          </w:p>
        </w:tc>
      </w:tr>
      <w:tr>
        <w:trPr>
          <w:trHeight w:val="120" w:hRule="atLeast"/>
        </w:trPr>
        <w:tc>
          <w:tcPr>
            <w:tcW w:w="2930" w:type="dxa"/>
            <w:tcBorders/>
            <w:vAlign w:val="center"/>
          </w:tcPr>
          <w:p>
            <w:pPr>
              <w:pStyle w:val="TableContents"/>
              <w:bidi w:val="0"/>
              <w:spacing w:before="0" w:after="283"/>
              <w:jc w:val="left"/>
              <w:rPr>
                <w:sz w:val="4"/>
                <w:szCs w:val="4"/>
              </w:rPr>
            </w:pPr>
            <w:r>
              <w:rPr>
                <w:sz w:val="4"/>
                <w:szCs w:val="4"/>
              </w:rPr>
            </w:r>
          </w:p>
        </w:tc>
        <w:tc>
          <w:tcPr>
            <w:tcW w:w="7275" w:type="dxa"/>
            <w:gridSpan w:val="2"/>
            <w:tcBorders/>
            <w:vAlign w:val="center"/>
          </w:tcPr>
          <w:p>
            <w:pPr>
              <w:pStyle w:val="TableContents"/>
              <w:bidi w:val="0"/>
              <w:spacing w:before="0" w:after="283"/>
              <w:jc w:val="left"/>
              <w:rPr>
                <w:sz w:val="4"/>
                <w:szCs w:val="4"/>
              </w:rPr>
            </w:pPr>
            <w:r>
              <w:rPr>
                <w:sz w:val="4"/>
                <w:szCs w:val="4"/>
              </w:rPr>
            </w:r>
          </w:p>
        </w:tc>
      </w:tr>
      <w:tr>
        <w:trPr/>
        <w:tc>
          <w:tcPr>
            <w:tcW w:w="2930" w:type="dxa"/>
            <w:tcBorders/>
          </w:tcPr>
          <w:p>
            <w:pPr>
              <w:pStyle w:val="TableContents"/>
              <w:bidi w:val="0"/>
              <w:spacing w:before="0" w:after="283"/>
              <w:jc w:val="left"/>
              <w:rPr/>
            </w:pPr>
            <w:r>
              <w:rPr/>
              <w:t>Underwriting Discount</w:t>
            </w:r>
          </w:p>
        </w:tc>
        <w:tc>
          <w:tcPr>
            <w:tcW w:w="120" w:type="dxa"/>
            <w:tcBorders/>
            <w:vAlign w:val="bottom"/>
          </w:tcPr>
          <w:p>
            <w:pPr>
              <w:pStyle w:val="TableContents"/>
              <w:bidi w:val="0"/>
              <w:spacing w:before="0" w:after="283"/>
              <w:jc w:val="left"/>
              <w:rPr/>
            </w:pPr>
            <w:r>
              <w:rPr/>
              <w:t>  </w:t>
            </w:r>
          </w:p>
        </w:tc>
        <w:tc>
          <w:tcPr>
            <w:tcW w:w="7155" w:type="dxa"/>
            <w:tcBorders/>
          </w:tcPr>
          <w:p>
            <w:pPr>
              <w:pStyle w:val="TableContents"/>
              <w:bidi w:val="0"/>
              <w:spacing w:before="0" w:after="283"/>
              <w:jc w:val="left"/>
              <w:rPr/>
            </w:pPr>
            <w:r>
              <w:rPr/>
              <w:t>2.75% of the principal amount of the Notes, and $13,750,000 in the aggregate (or $15,812,500 in the aggregate, if the underwriters of the Convertible Note Offering fully exercise their over-allotment option to purchase additional Notes), in each case plus accrued interest, if any, from the Settlement Date.</w:t>
            </w:r>
          </w:p>
        </w:tc>
      </w:tr>
      <w:tr>
        <w:trPr>
          <w:trHeight w:val="120" w:hRule="atLeast"/>
        </w:trPr>
        <w:tc>
          <w:tcPr>
            <w:tcW w:w="2930" w:type="dxa"/>
            <w:tcBorders/>
            <w:vAlign w:val="center"/>
          </w:tcPr>
          <w:p>
            <w:pPr>
              <w:pStyle w:val="TableContents"/>
              <w:bidi w:val="0"/>
              <w:spacing w:before="0" w:after="283"/>
              <w:jc w:val="left"/>
              <w:rPr>
                <w:sz w:val="4"/>
                <w:szCs w:val="4"/>
              </w:rPr>
            </w:pPr>
            <w:r>
              <w:rPr>
                <w:sz w:val="4"/>
                <w:szCs w:val="4"/>
              </w:rPr>
            </w:r>
          </w:p>
        </w:tc>
        <w:tc>
          <w:tcPr>
            <w:tcW w:w="7275" w:type="dxa"/>
            <w:gridSpan w:val="2"/>
            <w:tcBorders/>
            <w:vAlign w:val="center"/>
          </w:tcPr>
          <w:p>
            <w:pPr>
              <w:pStyle w:val="TableContents"/>
              <w:bidi w:val="0"/>
              <w:spacing w:before="0" w:after="283"/>
              <w:jc w:val="left"/>
              <w:rPr>
                <w:sz w:val="4"/>
                <w:szCs w:val="4"/>
              </w:rPr>
            </w:pPr>
            <w:r>
              <w:rPr>
                <w:sz w:val="4"/>
                <w:szCs w:val="4"/>
              </w:rPr>
            </w:r>
          </w:p>
        </w:tc>
      </w:tr>
      <w:tr>
        <w:trPr/>
        <w:tc>
          <w:tcPr>
            <w:tcW w:w="2930" w:type="dxa"/>
            <w:tcBorders/>
          </w:tcPr>
          <w:p>
            <w:pPr>
              <w:pStyle w:val="TableContents"/>
              <w:bidi w:val="0"/>
              <w:spacing w:before="0" w:after="283"/>
              <w:jc w:val="left"/>
              <w:rPr/>
            </w:pPr>
            <w:r>
              <w:rPr/>
              <w:t>Maturity</w:t>
            </w:r>
          </w:p>
        </w:tc>
        <w:tc>
          <w:tcPr>
            <w:tcW w:w="120" w:type="dxa"/>
            <w:tcBorders/>
            <w:vAlign w:val="bottom"/>
          </w:tcPr>
          <w:p>
            <w:pPr>
              <w:pStyle w:val="TableContents"/>
              <w:bidi w:val="0"/>
              <w:spacing w:before="0" w:after="283"/>
              <w:jc w:val="left"/>
              <w:rPr/>
            </w:pPr>
            <w:r>
              <w:rPr/>
              <w:t>  </w:t>
            </w:r>
          </w:p>
        </w:tc>
        <w:tc>
          <w:tcPr>
            <w:tcW w:w="7155" w:type="dxa"/>
            <w:tcBorders/>
          </w:tcPr>
          <w:p>
            <w:pPr>
              <w:pStyle w:val="TableContents"/>
              <w:bidi w:val="0"/>
              <w:spacing w:before="0" w:after="283"/>
              <w:jc w:val="left"/>
              <w:rPr/>
            </w:pPr>
            <w:r>
              <w:rPr/>
              <w:t>October 15, 2032, unless earlier repurchased, redeemed or converted.</w:t>
            </w:r>
          </w:p>
        </w:tc>
      </w:tr>
      <w:tr>
        <w:trPr>
          <w:trHeight w:val="120" w:hRule="atLeast"/>
        </w:trPr>
        <w:tc>
          <w:tcPr>
            <w:tcW w:w="2930" w:type="dxa"/>
            <w:tcBorders/>
            <w:vAlign w:val="center"/>
          </w:tcPr>
          <w:p>
            <w:pPr>
              <w:pStyle w:val="TableContents"/>
              <w:bidi w:val="0"/>
              <w:spacing w:before="0" w:after="283"/>
              <w:jc w:val="left"/>
              <w:rPr>
                <w:sz w:val="4"/>
                <w:szCs w:val="4"/>
              </w:rPr>
            </w:pPr>
            <w:r>
              <w:rPr>
                <w:sz w:val="4"/>
                <w:szCs w:val="4"/>
              </w:rPr>
            </w:r>
          </w:p>
        </w:tc>
        <w:tc>
          <w:tcPr>
            <w:tcW w:w="7275" w:type="dxa"/>
            <w:gridSpan w:val="2"/>
            <w:tcBorders/>
            <w:vAlign w:val="center"/>
          </w:tcPr>
          <w:p>
            <w:pPr>
              <w:pStyle w:val="TableContents"/>
              <w:bidi w:val="0"/>
              <w:spacing w:before="0" w:after="283"/>
              <w:jc w:val="left"/>
              <w:rPr>
                <w:sz w:val="4"/>
                <w:szCs w:val="4"/>
              </w:rPr>
            </w:pPr>
            <w:r>
              <w:rPr>
                <w:sz w:val="4"/>
                <w:szCs w:val="4"/>
              </w:rPr>
            </w:r>
          </w:p>
        </w:tc>
      </w:tr>
      <w:tr>
        <w:trPr/>
        <w:tc>
          <w:tcPr>
            <w:tcW w:w="2930" w:type="dxa"/>
            <w:tcBorders/>
          </w:tcPr>
          <w:p>
            <w:pPr>
              <w:pStyle w:val="TableContents"/>
              <w:bidi w:val="0"/>
              <w:spacing w:before="0" w:after="283"/>
              <w:jc w:val="left"/>
              <w:rPr/>
            </w:pPr>
            <w:r>
              <w:rPr/>
              <w:t>Stated Interest Rate</w:t>
            </w:r>
          </w:p>
        </w:tc>
        <w:tc>
          <w:tcPr>
            <w:tcW w:w="120" w:type="dxa"/>
            <w:tcBorders/>
            <w:vAlign w:val="bottom"/>
          </w:tcPr>
          <w:p>
            <w:pPr>
              <w:pStyle w:val="TableContents"/>
              <w:bidi w:val="0"/>
              <w:spacing w:before="0" w:after="283"/>
              <w:jc w:val="left"/>
              <w:rPr/>
            </w:pPr>
            <w:r>
              <w:rPr/>
              <w:t>  </w:t>
            </w:r>
          </w:p>
        </w:tc>
        <w:tc>
          <w:tcPr>
            <w:tcW w:w="7155" w:type="dxa"/>
            <w:tcBorders/>
          </w:tcPr>
          <w:p>
            <w:pPr>
              <w:pStyle w:val="TableContents"/>
              <w:bidi w:val="0"/>
              <w:spacing w:before="0" w:after="283"/>
              <w:jc w:val="left"/>
              <w:rPr/>
            </w:pPr>
            <w:r>
              <w:rPr/>
              <w:t>1.50% per annum.</w:t>
            </w:r>
          </w:p>
        </w:tc>
      </w:tr>
      <w:tr>
        <w:trPr>
          <w:trHeight w:val="120" w:hRule="atLeast"/>
        </w:trPr>
        <w:tc>
          <w:tcPr>
            <w:tcW w:w="2930" w:type="dxa"/>
            <w:tcBorders/>
            <w:vAlign w:val="center"/>
          </w:tcPr>
          <w:p>
            <w:pPr>
              <w:pStyle w:val="TableContents"/>
              <w:bidi w:val="0"/>
              <w:spacing w:before="0" w:after="283"/>
              <w:jc w:val="left"/>
              <w:rPr>
                <w:sz w:val="4"/>
                <w:szCs w:val="4"/>
              </w:rPr>
            </w:pPr>
            <w:r>
              <w:rPr>
                <w:sz w:val="4"/>
                <w:szCs w:val="4"/>
              </w:rPr>
            </w:r>
          </w:p>
        </w:tc>
        <w:tc>
          <w:tcPr>
            <w:tcW w:w="7275" w:type="dxa"/>
            <w:gridSpan w:val="2"/>
            <w:tcBorders/>
            <w:vAlign w:val="center"/>
          </w:tcPr>
          <w:p>
            <w:pPr>
              <w:pStyle w:val="TableContents"/>
              <w:bidi w:val="0"/>
              <w:spacing w:before="0" w:after="283"/>
              <w:jc w:val="left"/>
              <w:rPr>
                <w:sz w:val="4"/>
                <w:szCs w:val="4"/>
              </w:rPr>
            </w:pPr>
            <w:r>
              <w:rPr>
                <w:sz w:val="4"/>
                <w:szCs w:val="4"/>
              </w:rPr>
            </w:r>
          </w:p>
        </w:tc>
      </w:tr>
      <w:tr>
        <w:trPr/>
        <w:tc>
          <w:tcPr>
            <w:tcW w:w="2930" w:type="dxa"/>
            <w:tcBorders/>
          </w:tcPr>
          <w:p>
            <w:pPr>
              <w:pStyle w:val="TableContents"/>
              <w:bidi w:val="0"/>
              <w:spacing w:before="0" w:after="283"/>
              <w:jc w:val="left"/>
              <w:rPr/>
            </w:pPr>
            <w:r>
              <w:rPr/>
              <w:t>Interest Payment Dates</w:t>
            </w:r>
          </w:p>
        </w:tc>
        <w:tc>
          <w:tcPr>
            <w:tcW w:w="120" w:type="dxa"/>
            <w:tcBorders/>
            <w:vAlign w:val="bottom"/>
          </w:tcPr>
          <w:p>
            <w:pPr>
              <w:pStyle w:val="TableContents"/>
              <w:bidi w:val="0"/>
              <w:spacing w:before="0" w:after="283"/>
              <w:jc w:val="left"/>
              <w:rPr/>
            </w:pPr>
            <w:r>
              <w:rPr/>
              <w:t>  </w:t>
            </w:r>
          </w:p>
        </w:tc>
        <w:tc>
          <w:tcPr>
            <w:tcW w:w="7155" w:type="dxa"/>
            <w:tcBorders/>
          </w:tcPr>
          <w:p>
            <w:pPr>
              <w:pStyle w:val="TableContents"/>
              <w:bidi w:val="0"/>
              <w:spacing w:before="0" w:after="283"/>
              <w:jc w:val="left"/>
              <w:rPr/>
            </w:pPr>
            <w:r>
              <w:rPr/>
              <w:t>April 15 and October 15 of each year, beginning on April 15, 2027.</w:t>
            </w:r>
          </w:p>
        </w:tc>
      </w:tr>
      <w:tr>
        <w:trPr>
          <w:trHeight w:val="120" w:hRule="atLeast"/>
        </w:trPr>
        <w:tc>
          <w:tcPr>
            <w:tcW w:w="2930" w:type="dxa"/>
            <w:tcBorders/>
            <w:vAlign w:val="center"/>
          </w:tcPr>
          <w:p>
            <w:pPr>
              <w:pStyle w:val="TableContents"/>
              <w:bidi w:val="0"/>
              <w:spacing w:before="0" w:after="283"/>
              <w:jc w:val="left"/>
              <w:rPr>
                <w:sz w:val="4"/>
                <w:szCs w:val="4"/>
              </w:rPr>
            </w:pPr>
            <w:r>
              <w:rPr>
                <w:sz w:val="4"/>
                <w:szCs w:val="4"/>
              </w:rPr>
            </w:r>
          </w:p>
        </w:tc>
        <w:tc>
          <w:tcPr>
            <w:tcW w:w="7275" w:type="dxa"/>
            <w:gridSpan w:val="2"/>
            <w:tcBorders/>
            <w:vAlign w:val="center"/>
          </w:tcPr>
          <w:p>
            <w:pPr>
              <w:pStyle w:val="TableContents"/>
              <w:bidi w:val="0"/>
              <w:spacing w:before="0" w:after="283"/>
              <w:jc w:val="left"/>
              <w:rPr>
                <w:sz w:val="4"/>
                <w:szCs w:val="4"/>
              </w:rPr>
            </w:pPr>
            <w:r>
              <w:rPr>
                <w:sz w:val="4"/>
                <w:szCs w:val="4"/>
              </w:rPr>
            </w:r>
          </w:p>
        </w:tc>
      </w:tr>
      <w:tr>
        <w:trPr/>
        <w:tc>
          <w:tcPr>
            <w:tcW w:w="2930" w:type="dxa"/>
            <w:tcBorders/>
          </w:tcPr>
          <w:p>
            <w:pPr>
              <w:pStyle w:val="TableContents"/>
              <w:bidi w:val="0"/>
              <w:spacing w:before="0" w:after="283"/>
              <w:jc w:val="left"/>
              <w:rPr/>
            </w:pPr>
            <w:r>
              <w:rPr/>
              <w:t>Record Dates</w:t>
            </w:r>
          </w:p>
        </w:tc>
        <w:tc>
          <w:tcPr>
            <w:tcW w:w="120" w:type="dxa"/>
            <w:tcBorders/>
            <w:vAlign w:val="bottom"/>
          </w:tcPr>
          <w:p>
            <w:pPr>
              <w:pStyle w:val="TableContents"/>
              <w:bidi w:val="0"/>
              <w:spacing w:before="0" w:after="283"/>
              <w:jc w:val="left"/>
              <w:rPr/>
            </w:pPr>
            <w:r>
              <w:rPr/>
              <w:t>  </w:t>
            </w:r>
          </w:p>
        </w:tc>
        <w:tc>
          <w:tcPr>
            <w:tcW w:w="7155" w:type="dxa"/>
            <w:tcBorders/>
          </w:tcPr>
          <w:p>
            <w:pPr>
              <w:pStyle w:val="TableContents"/>
              <w:bidi w:val="0"/>
              <w:spacing w:before="0" w:after="283"/>
              <w:jc w:val="left"/>
              <w:rPr/>
            </w:pPr>
            <w:r>
              <w:rPr/>
              <w:t>April 1 and October 1.</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- 4 -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950"/>
        <w:gridCol w:w="123"/>
        <w:gridCol w:w="7132"/>
      </w:tblGrid>
      <w:tr>
        <w:trPr/>
        <w:tc>
          <w:tcPr>
            <w:tcW w:w="295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132" w:type="dxa"/>
            <w:tcBorders/>
            <w:vAlign w:val="center"/>
          </w:tcPr>
          <w:p>
            <w:pPr>
              <w:pStyle w:val="TableContents"/>
              <w:bidi w:val="0"/>
              <w:spacing w:before="0" w:after="283"/>
              <w:jc w:val="left"/>
              <w:rPr>
                <w:sz w:val="4"/>
                <w:szCs w:val="4"/>
              </w:rPr>
            </w:pPr>
            <w:r>
              <w:rPr>
                <w:sz w:val="4"/>
                <w:szCs w:val="4"/>
              </w:rPr>
            </w:r>
          </w:p>
        </w:tc>
      </w:tr>
      <w:tr>
        <w:trPr/>
        <w:tc>
          <w:tcPr>
            <w:tcW w:w="2950" w:type="dxa"/>
            <w:tcBorders/>
          </w:tcPr>
          <w:p>
            <w:pPr>
              <w:pStyle w:val="TableContents"/>
              <w:bidi w:val="0"/>
              <w:spacing w:before="0" w:after="0"/>
              <w:jc w:val="left"/>
              <w:rPr>
                <w:rFonts w:ascii="Times New Roman" w:hAnsi="Times New Roman"/>
                <w:sz w:val="20"/>
              </w:rPr>
            </w:pPr>
            <w:r>
              <w:rPr>
                <w:rFonts w:ascii="Times New Roman" w:hAnsi="Times New Roman"/>
                <w:sz w:val="20"/>
              </w:rPr>
              <w:t>Last Reported Sale Price per Share of Common Stock on NASDAQ on October 6, 2026</w:t>
            </w:r>
          </w:p>
        </w:tc>
        <w:tc>
          <w:tcPr>
            <w:tcW w:w="123" w:type="dxa"/>
            <w:tcBorders/>
            <w:vAlign w:val="bottom"/>
          </w:tcPr>
          <w:p>
            <w:pPr>
              <w:pStyle w:val="TableContents"/>
              <w:bidi w:val="0"/>
              <w:spacing w:before="0" w:after="283"/>
              <w:jc w:val="left"/>
              <w:rPr/>
            </w:pPr>
            <w:r>
              <w:rPr/>
              <w:t>  </w:t>
            </w:r>
          </w:p>
        </w:tc>
        <w:tc>
          <w:tcPr>
            <w:tcW w:w="7132" w:type="dxa"/>
            <w:tcBorders/>
            <w:vAlign w:val="bottom"/>
          </w:tcPr>
          <w:p>
            <w:pPr>
              <w:pStyle w:val="TableContents"/>
              <w:bidi w:val="0"/>
              <w:spacing w:before="0" w:after="283"/>
              <w:jc w:val="left"/>
              <w:rPr/>
            </w:pPr>
            <w:r>
              <w:rPr/>
              <w:t>$66.70.</w:t>
            </w:r>
          </w:p>
        </w:tc>
      </w:tr>
      <w:tr>
        <w:trPr>
          <w:trHeight w:val="120" w:hRule="atLeast"/>
        </w:trPr>
        <w:tc>
          <w:tcPr>
            <w:tcW w:w="2950" w:type="dxa"/>
            <w:tcBorders/>
            <w:vAlign w:val="center"/>
          </w:tcPr>
          <w:p>
            <w:pPr>
              <w:pStyle w:val="TableContents"/>
              <w:bidi w:val="0"/>
              <w:spacing w:before="0" w:after="283"/>
              <w:jc w:val="left"/>
              <w:rPr>
                <w:sz w:val="4"/>
                <w:szCs w:val="4"/>
              </w:rPr>
            </w:pPr>
            <w:r>
              <w:rPr>
                <w:sz w:val="4"/>
                <w:szCs w:val="4"/>
              </w:rPr>
            </w:r>
          </w:p>
        </w:tc>
        <w:tc>
          <w:tcPr>
            <w:tcW w:w="7255" w:type="dxa"/>
            <w:gridSpan w:val="2"/>
            <w:tcBorders/>
            <w:vAlign w:val="center"/>
          </w:tcPr>
          <w:p>
            <w:pPr>
              <w:pStyle w:val="TableContents"/>
              <w:bidi w:val="0"/>
              <w:spacing w:before="0" w:after="283"/>
              <w:jc w:val="left"/>
              <w:rPr>
                <w:sz w:val="4"/>
                <w:szCs w:val="4"/>
              </w:rPr>
            </w:pPr>
            <w:r>
              <w:rPr>
                <w:sz w:val="4"/>
                <w:szCs w:val="4"/>
              </w:rPr>
            </w:r>
          </w:p>
        </w:tc>
      </w:tr>
      <w:tr>
        <w:trPr/>
        <w:tc>
          <w:tcPr>
            <w:tcW w:w="2950" w:type="dxa"/>
            <w:tcBorders/>
          </w:tcPr>
          <w:p>
            <w:pPr>
              <w:pStyle w:val="TableContents"/>
              <w:bidi w:val="0"/>
              <w:spacing w:before="0" w:after="283"/>
              <w:jc w:val="left"/>
              <w:rPr/>
            </w:pPr>
            <w:r>
              <w:rPr/>
              <w:t>Conversion Premium</w:t>
            </w:r>
          </w:p>
        </w:tc>
        <w:tc>
          <w:tcPr>
            <w:tcW w:w="123" w:type="dxa"/>
            <w:tcBorders/>
            <w:vAlign w:val="bottom"/>
          </w:tcPr>
          <w:p>
            <w:pPr>
              <w:pStyle w:val="TableContents"/>
              <w:bidi w:val="0"/>
              <w:spacing w:before="0" w:after="283"/>
              <w:jc w:val="left"/>
              <w:rPr/>
            </w:pPr>
            <w:r>
              <w:rPr/>
              <w:t>  </w:t>
            </w:r>
          </w:p>
        </w:tc>
        <w:tc>
          <w:tcPr>
            <w:tcW w:w="7132" w:type="dxa"/>
            <w:tcBorders/>
          </w:tcPr>
          <w:p>
            <w:pPr>
              <w:pStyle w:val="TableContents"/>
              <w:bidi w:val="0"/>
              <w:spacing w:before="0" w:after="283"/>
              <w:jc w:val="left"/>
              <w:rPr/>
            </w:pPr>
            <w:r>
              <w:rPr/>
              <w:t>Approximately 40.0% above the Public Offering Price per Share of Common Stock in the Common Stock Offering.</w:t>
            </w:r>
          </w:p>
        </w:tc>
      </w:tr>
      <w:tr>
        <w:trPr>
          <w:trHeight w:val="120" w:hRule="atLeast"/>
        </w:trPr>
        <w:tc>
          <w:tcPr>
            <w:tcW w:w="2950" w:type="dxa"/>
            <w:tcBorders/>
            <w:vAlign w:val="center"/>
          </w:tcPr>
          <w:p>
            <w:pPr>
              <w:pStyle w:val="TableContents"/>
              <w:bidi w:val="0"/>
              <w:spacing w:before="0" w:after="283"/>
              <w:jc w:val="left"/>
              <w:rPr>
                <w:sz w:val="4"/>
                <w:szCs w:val="4"/>
              </w:rPr>
            </w:pPr>
            <w:r>
              <w:rPr>
                <w:sz w:val="4"/>
                <w:szCs w:val="4"/>
              </w:rPr>
            </w:r>
          </w:p>
        </w:tc>
        <w:tc>
          <w:tcPr>
            <w:tcW w:w="7255" w:type="dxa"/>
            <w:gridSpan w:val="2"/>
            <w:tcBorders/>
            <w:vAlign w:val="center"/>
          </w:tcPr>
          <w:p>
            <w:pPr>
              <w:pStyle w:val="TableContents"/>
              <w:bidi w:val="0"/>
              <w:spacing w:before="0" w:after="283"/>
              <w:jc w:val="left"/>
              <w:rPr>
                <w:sz w:val="4"/>
                <w:szCs w:val="4"/>
              </w:rPr>
            </w:pPr>
            <w:r>
              <w:rPr>
                <w:sz w:val="4"/>
                <w:szCs w:val="4"/>
              </w:rPr>
            </w:r>
          </w:p>
        </w:tc>
      </w:tr>
      <w:tr>
        <w:trPr/>
        <w:tc>
          <w:tcPr>
            <w:tcW w:w="2950" w:type="dxa"/>
            <w:tcBorders/>
          </w:tcPr>
          <w:p>
            <w:pPr>
              <w:pStyle w:val="TableContents"/>
              <w:bidi w:val="0"/>
              <w:spacing w:before="0" w:after="283"/>
              <w:jc w:val="left"/>
              <w:rPr/>
            </w:pPr>
            <w:r>
              <w:rPr/>
              <w:t>Initial Conversion Price</w:t>
            </w:r>
          </w:p>
        </w:tc>
        <w:tc>
          <w:tcPr>
            <w:tcW w:w="123" w:type="dxa"/>
            <w:tcBorders/>
            <w:vAlign w:val="bottom"/>
          </w:tcPr>
          <w:p>
            <w:pPr>
              <w:pStyle w:val="TableContents"/>
              <w:bidi w:val="0"/>
              <w:spacing w:before="0" w:after="283"/>
              <w:jc w:val="left"/>
              <w:rPr/>
            </w:pPr>
            <w:r>
              <w:rPr/>
              <w:t>  </w:t>
            </w:r>
          </w:p>
        </w:tc>
        <w:tc>
          <w:tcPr>
            <w:tcW w:w="7132" w:type="dxa"/>
            <w:tcBorders/>
          </w:tcPr>
          <w:p>
            <w:pPr>
              <w:pStyle w:val="TableContents"/>
              <w:bidi w:val="0"/>
              <w:spacing w:before="0" w:after="283"/>
              <w:jc w:val="left"/>
              <w:rPr/>
            </w:pPr>
            <w:r>
              <w:rPr/>
              <w:t>Approximately $89.60 per share of our Common Stock.</w:t>
            </w:r>
          </w:p>
        </w:tc>
      </w:tr>
      <w:tr>
        <w:trPr>
          <w:trHeight w:val="120" w:hRule="atLeast"/>
        </w:trPr>
        <w:tc>
          <w:tcPr>
            <w:tcW w:w="2950" w:type="dxa"/>
            <w:tcBorders/>
            <w:vAlign w:val="center"/>
          </w:tcPr>
          <w:p>
            <w:pPr>
              <w:pStyle w:val="TableContents"/>
              <w:bidi w:val="0"/>
              <w:spacing w:before="0" w:after="283"/>
              <w:jc w:val="left"/>
              <w:rPr>
                <w:sz w:val="4"/>
                <w:szCs w:val="4"/>
              </w:rPr>
            </w:pPr>
            <w:r>
              <w:rPr>
                <w:sz w:val="4"/>
                <w:szCs w:val="4"/>
              </w:rPr>
            </w:r>
          </w:p>
        </w:tc>
        <w:tc>
          <w:tcPr>
            <w:tcW w:w="7255" w:type="dxa"/>
            <w:gridSpan w:val="2"/>
            <w:tcBorders/>
            <w:vAlign w:val="center"/>
          </w:tcPr>
          <w:p>
            <w:pPr>
              <w:pStyle w:val="TableContents"/>
              <w:bidi w:val="0"/>
              <w:spacing w:before="0" w:after="283"/>
              <w:jc w:val="left"/>
              <w:rPr>
                <w:sz w:val="4"/>
                <w:szCs w:val="4"/>
              </w:rPr>
            </w:pPr>
            <w:r>
              <w:rPr>
                <w:sz w:val="4"/>
                <w:szCs w:val="4"/>
              </w:rPr>
            </w:r>
          </w:p>
        </w:tc>
      </w:tr>
      <w:tr>
        <w:trPr/>
        <w:tc>
          <w:tcPr>
            <w:tcW w:w="2950" w:type="dxa"/>
            <w:tcBorders/>
          </w:tcPr>
          <w:p>
            <w:pPr>
              <w:pStyle w:val="TableContents"/>
              <w:bidi w:val="0"/>
              <w:spacing w:before="0" w:after="283"/>
              <w:jc w:val="left"/>
              <w:rPr/>
            </w:pPr>
            <w:r>
              <w:rPr/>
              <w:t>Initial Conversion Rate</w:t>
            </w:r>
          </w:p>
        </w:tc>
        <w:tc>
          <w:tcPr>
            <w:tcW w:w="123" w:type="dxa"/>
            <w:tcBorders/>
            <w:vAlign w:val="bottom"/>
          </w:tcPr>
          <w:p>
            <w:pPr>
              <w:pStyle w:val="TableContents"/>
              <w:bidi w:val="0"/>
              <w:spacing w:before="0" w:after="283"/>
              <w:jc w:val="left"/>
              <w:rPr/>
            </w:pPr>
            <w:r>
              <w:rPr/>
              <w:t>  </w:t>
            </w:r>
          </w:p>
        </w:tc>
        <w:tc>
          <w:tcPr>
            <w:tcW w:w="7132" w:type="dxa"/>
            <w:tcBorders/>
          </w:tcPr>
          <w:p>
            <w:pPr>
              <w:pStyle w:val="TableContents"/>
              <w:bidi w:val="0"/>
              <w:spacing w:before="0" w:after="283"/>
              <w:jc w:val="left"/>
              <w:rPr/>
            </w:pPr>
            <w:r>
              <w:rPr/>
              <w:t>11.1607 shares of our Common Stock per $1,000 principal amount of Notes.</w:t>
            </w:r>
          </w:p>
        </w:tc>
      </w:tr>
      <w:tr>
        <w:trPr>
          <w:trHeight w:val="120" w:hRule="atLeast"/>
        </w:trPr>
        <w:tc>
          <w:tcPr>
            <w:tcW w:w="2950" w:type="dxa"/>
            <w:tcBorders/>
            <w:vAlign w:val="center"/>
          </w:tcPr>
          <w:p>
            <w:pPr>
              <w:pStyle w:val="TableContents"/>
              <w:bidi w:val="0"/>
              <w:spacing w:before="0" w:after="283"/>
              <w:jc w:val="left"/>
              <w:rPr>
                <w:sz w:val="4"/>
                <w:szCs w:val="4"/>
              </w:rPr>
            </w:pPr>
            <w:r>
              <w:rPr>
                <w:sz w:val="4"/>
                <w:szCs w:val="4"/>
              </w:rPr>
            </w:r>
          </w:p>
        </w:tc>
        <w:tc>
          <w:tcPr>
            <w:tcW w:w="7255" w:type="dxa"/>
            <w:gridSpan w:val="2"/>
            <w:tcBorders/>
            <w:vAlign w:val="center"/>
          </w:tcPr>
          <w:p>
            <w:pPr>
              <w:pStyle w:val="TableContents"/>
              <w:bidi w:val="0"/>
              <w:spacing w:before="0" w:after="283"/>
              <w:jc w:val="left"/>
              <w:rPr>
                <w:sz w:val="4"/>
                <w:szCs w:val="4"/>
              </w:rPr>
            </w:pPr>
            <w:r>
              <w:rPr>
                <w:sz w:val="4"/>
                <w:szCs w:val="4"/>
              </w:rPr>
            </w:r>
          </w:p>
        </w:tc>
      </w:tr>
      <w:tr>
        <w:trPr/>
        <w:tc>
          <w:tcPr>
            <w:tcW w:w="2950" w:type="dxa"/>
            <w:tcBorders/>
          </w:tcPr>
          <w:p>
            <w:pPr>
              <w:pStyle w:val="TableContents"/>
              <w:bidi w:val="0"/>
              <w:spacing w:before="0" w:after="283"/>
              <w:jc w:val="left"/>
              <w:rPr/>
            </w:pPr>
            <w:r>
              <w:rPr/>
              <w:t>Provisional Redemption</w:t>
            </w:r>
          </w:p>
        </w:tc>
        <w:tc>
          <w:tcPr>
            <w:tcW w:w="123" w:type="dxa"/>
            <w:tcBorders/>
            <w:vAlign w:val="bottom"/>
          </w:tcPr>
          <w:p>
            <w:pPr>
              <w:pStyle w:val="TableContents"/>
              <w:bidi w:val="0"/>
              <w:spacing w:before="0" w:after="283"/>
              <w:jc w:val="left"/>
              <w:rPr/>
            </w:pPr>
            <w:r>
              <w:rPr/>
              <w:t>  </w:t>
            </w:r>
          </w:p>
        </w:tc>
        <w:tc>
          <w:tcPr>
            <w:tcW w:w="7132" w:type="dxa"/>
            <w:tcBorders/>
          </w:tcPr>
          <w:p>
            <w:pPr>
              <w:pStyle w:val="TableContents"/>
              <w:bidi w:val="0"/>
              <w:spacing w:before="0" w:after="283"/>
              <w:jc w:val="left"/>
              <w:rPr/>
            </w:pPr>
            <w:r>
              <w:rPr/>
              <w:t>We will have the right, at our election, to redeem (a “provisional redemption”) all, or any portion (subject to certain limitations described below), of the Notes, at any time, and from time to time, on or after October 22, 2029 and on or before the 20th scheduled trading day immediately before the maturity date, at a cash redemption price equal to the principal amount of the Notes to be redeemed, plus accrued and unpaid interest, if any, to, but excluding, the redemption date, but only if the last reported sale price per share of our Common Stock exceeds 130% of the conversion price on (x) each of at least 20 trading days, whether or not consecutive, during the 30 consecutive trading days ending on, and including, the trading day immediately before the date we send the related redemption notice; and (y) the trading day immediately before the date we send such notice. However, we may not redeem less than all of the outstanding Notes pursuant to a provisional redemption unless at least $75.0 million aggregate principal amount of Notes are outstanding and not called for redemption as of the time we send the related redemption notice. In addition, calling any Note for provisional redemption will constitute a make-whole fundamental change with respect to that Note, in which case the conversion rate applicable to the conversion of that Note will be increased in certain circumstances if it is converted after it is called for provisional redemption. See “Description of Notes—Optional Redemption—Provisional Redemption” in the Convertible Note Preliminary Prospectus Supplement.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- 5 -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942"/>
        <w:gridCol w:w="122"/>
        <w:gridCol w:w="7141"/>
      </w:tblGrid>
      <w:tr>
        <w:trPr/>
        <w:tc>
          <w:tcPr>
            <w:tcW w:w="294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141"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2942" w:type="dxa"/>
            <w:tcBorders/>
            <w:vAlign w:val="center"/>
          </w:tcPr>
          <w:p>
            <w:pPr>
              <w:pStyle w:val="TableContents"/>
              <w:bidi w:val="0"/>
              <w:spacing w:before="0" w:after="283"/>
              <w:jc w:val="left"/>
              <w:rPr>
                <w:sz w:val="4"/>
                <w:szCs w:val="4"/>
              </w:rPr>
            </w:pPr>
            <w:r>
              <w:rPr>
                <w:sz w:val="4"/>
                <w:szCs w:val="4"/>
              </w:rPr>
            </w:r>
          </w:p>
        </w:tc>
        <w:tc>
          <w:tcPr>
            <w:tcW w:w="7263" w:type="dxa"/>
            <w:gridSpan w:val="2"/>
            <w:tcBorders/>
            <w:vAlign w:val="center"/>
          </w:tcPr>
          <w:p>
            <w:pPr>
              <w:pStyle w:val="TableContents"/>
              <w:bidi w:val="0"/>
              <w:spacing w:before="0" w:after="283"/>
              <w:jc w:val="left"/>
              <w:rPr>
                <w:sz w:val="4"/>
                <w:szCs w:val="4"/>
              </w:rPr>
            </w:pPr>
            <w:r>
              <w:rPr>
                <w:sz w:val="4"/>
                <w:szCs w:val="4"/>
              </w:rPr>
            </w:r>
          </w:p>
        </w:tc>
      </w:tr>
      <w:tr>
        <w:trPr/>
        <w:tc>
          <w:tcPr>
            <w:tcW w:w="2942" w:type="dxa"/>
            <w:tcBorders/>
          </w:tcPr>
          <w:p>
            <w:pPr>
              <w:pStyle w:val="TableContents"/>
              <w:bidi w:val="0"/>
              <w:spacing w:before="0" w:after="283"/>
              <w:jc w:val="left"/>
              <w:rPr/>
            </w:pPr>
            <w:r>
              <w:rPr/>
              <w:t>Cleanup Redemption</w:t>
            </w:r>
          </w:p>
        </w:tc>
        <w:tc>
          <w:tcPr>
            <w:tcW w:w="122" w:type="dxa"/>
            <w:tcBorders/>
            <w:vAlign w:val="bottom"/>
          </w:tcPr>
          <w:p>
            <w:pPr>
              <w:pStyle w:val="TableContents"/>
              <w:bidi w:val="0"/>
              <w:spacing w:before="0" w:after="283"/>
              <w:jc w:val="left"/>
              <w:rPr/>
            </w:pPr>
            <w:r>
              <w:rPr/>
              <w:t>  </w:t>
            </w:r>
          </w:p>
        </w:tc>
        <w:tc>
          <w:tcPr>
            <w:tcW w:w="7141" w:type="dxa"/>
            <w:tcBorders/>
          </w:tcPr>
          <w:p>
            <w:pPr>
              <w:pStyle w:val="TableContents"/>
              <w:bidi w:val="0"/>
              <w:spacing w:before="0" w:after="283"/>
              <w:jc w:val="left"/>
              <w:rPr/>
            </w:pPr>
            <w:r>
              <w:rPr/>
              <w:t>We will have the right, at our election, to redeem (a “cleanup redemption”) all, but not less than all, of the Notes, at any time, at a cash redemption price equal to the principal amount of the Notes to be redeemed, plus accrued and unpaid interest, if any, to, but excluding, the redemption date, but only if the principal amount of the Notes outstanding at the time we send the related redemption notice is less than 10% of the aggregate principal amount of the Notes issued in this offering (including any additional Notes issued pursuant to any exercise of the underwriters’ option to purchase additional Notes). In addition, calling the Notes for cleanup redemption will constitute a make-whole fundamental change, which will require us to increase the conversion rate in certain circumstances for a specified period of time. See “Description of Notes—Optional Redemption—Cleanup Redemption” in the Convertible Note Preliminary Prospectus Supplement.</w:t>
            </w:r>
          </w:p>
        </w:tc>
      </w:tr>
      <w:tr>
        <w:trPr>
          <w:trHeight w:val="120" w:hRule="atLeast"/>
        </w:trPr>
        <w:tc>
          <w:tcPr>
            <w:tcW w:w="2942" w:type="dxa"/>
            <w:tcBorders/>
            <w:vAlign w:val="center"/>
          </w:tcPr>
          <w:p>
            <w:pPr>
              <w:pStyle w:val="TableContents"/>
              <w:bidi w:val="0"/>
              <w:spacing w:before="0" w:after="283"/>
              <w:jc w:val="left"/>
              <w:rPr>
                <w:sz w:val="4"/>
                <w:szCs w:val="4"/>
              </w:rPr>
            </w:pPr>
            <w:r>
              <w:rPr>
                <w:sz w:val="4"/>
                <w:szCs w:val="4"/>
              </w:rPr>
            </w:r>
          </w:p>
        </w:tc>
        <w:tc>
          <w:tcPr>
            <w:tcW w:w="7263" w:type="dxa"/>
            <w:gridSpan w:val="2"/>
            <w:tcBorders/>
            <w:vAlign w:val="center"/>
          </w:tcPr>
          <w:p>
            <w:pPr>
              <w:pStyle w:val="TableContents"/>
              <w:bidi w:val="0"/>
              <w:spacing w:before="0" w:after="283"/>
              <w:jc w:val="left"/>
              <w:rPr>
                <w:sz w:val="4"/>
                <w:szCs w:val="4"/>
              </w:rPr>
            </w:pPr>
            <w:r>
              <w:rPr>
                <w:sz w:val="4"/>
                <w:szCs w:val="4"/>
              </w:rPr>
            </w:r>
          </w:p>
        </w:tc>
      </w:tr>
      <w:tr>
        <w:trPr/>
        <w:tc>
          <w:tcPr>
            <w:tcW w:w="2942" w:type="dxa"/>
            <w:tcBorders/>
          </w:tcPr>
          <w:p>
            <w:pPr>
              <w:pStyle w:val="TableContents"/>
              <w:bidi w:val="0"/>
              <w:spacing w:before="0" w:after="283"/>
              <w:jc w:val="left"/>
              <w:rPr/>
            </w:pPr>
            <w:r>
              <w:rPr/>
              <w:t>Use of Proceeds</w:t>
            </w:r>
          </w:p>
        </w:tc>
        <w:tc>
          <w:tcPr>
            <w:tcW w:w="122" w:type="dxa"/>
            <w:tcBorders/>
            <w:vAlign w:val="bottom"/>
          </w:tcPr>
          <w:p>
            <w:pPr>
              <w:pStyle w:val="TableContents"/>
              <w:bidi w:val="0"/>
              <w:spacing w:before="0" w:after="283"/>
              <w:jc w:val="left"/>
              <w:rPr/>
            </w:pPr>
            <w:r>
              <w:rPr/>
              <w:t>  </w:t>
            </w:r>
          </w:p>
        </w:tc>
        <w:tc>
          <w:tcPr>
            <w:tcW w:w="7141" w:type="dxa"/>
            <w:tcBorders/>
          </w:tcPr>
          <w:p>
            <w:pPr>
              <w:pStyle w:val="TableContents"/>
              <w:bidi w:val="0"/>
              <w:spacing w:before="0" w:after="283"/>
              <w:jc w:val="left"/>
              <w:rPr/>
            </w:pPr>
            <w:r>
              <w:rPr/>
              <w:t>We estimate that the net proceeds to us from the Convertible Note Offering will be approximately $485.8 million (or approximately $558.7 million if the underwriters of the Convertible Note Offering fully exercise their over-allotment option to purchase additional Notes), after deducting the underwriting discounts and commissions and our estimated offering expenses. We intend to use the combined net proceeds from the Convertible Note Offering and the Common Stock Offering together with our existing cash, cash equivalents and investments, to fund (i) clinical development of the VAX-31 adult and pediatric programs, including (a) for the ongoing VAX-31 adult Phase 3 program, the trial evaluating concomitant administration with a seasonal influenza vaccine (OPUS-2, enrolled), the trial in adults who have previously received a pneumococcal vaccine (OPUS-3, enrolled) and the planned manufacturing consistency study, and the anticipated topline safety, tolerability and immunogenicity data announcements from such studies, and (b) for the VAX-31 infant Phase 2 dosefinding study (enrolled), the anticipated topline data announcement(s) from the primary three-dose immunization series and booster dose; (ii) manufacturing scale-up, processes and supply to support our clinical studies and the potential commercial launches of our PCV programs, including (a) to establish additional manufacturing capacity to meet potential incremental supply requirements for the global adult and pediatric populations following the potential initial commercial launch of VAX-31 in adults in the United States and (b) to build inventory levels in advance of such potential commercial launch; (iii) medical affairs, commercial and systems-related investments to prepare for and execute the anticipated U.S. launch of VAX-31 in adults; (iv) ongoing research and development of our other earlystage pipeline vaccine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- 6 -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948"/>
        <w:gridCol w:w="121"/>
        <w:gridCol w:w="7136"/>
      </w:tblGrid>
      <w:tr>
        <w:trPr/>
        <w:tc>
          <w:tcPr>
            <w:tcW w:w="294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136"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2948" w:type="dxa"/>
            <w:tcBorders/>
            <w:vAlign w:val="center"/>
          </w:tcPr>
          <w:p>
            <w:pPr>
              <w:pStyle w:val="TableContents"/>
              <w:bidi w:val="0"/>
              <w:spacing w:before="0" w:after="283"/>
              <w:jc w:val="left"/>
              <w:rPr>
                <w:sz w:val="4"/>
                <w:szCs w:val="4"/>
              </w:rPr>
            </w:pPr>
            <w:r>
              <w:rPr>
                <w:sz w:val="4"/>
                <w:szCs w:val="4"/>
              </w:rPr>
            </w:r>
          </w:p>
        </w:tc>
        <w:tc>
          <w:tcPr>
            <w:tcW w:w="7257" w:type="dxa"/>
            <w:gridSpan w:val="2"/>
            <w:tcBorders/>
            <w:vAlign w:val="center"/>
          </w:tcPr>
          <w:p>
            <w:pPr>
              <w:pStyle w:val="TableContents"/>
              <w:bidi w:val="0"/>
              <w:spacing w:before="0" w:after="283"/>
              <w:jc w:val="left"/>
              <w:rPr>
                <w:sz w:val="4"/>
                <w:szCs w:val="4"/>
              </w:rPr>
            </w:pPr>
            <w:r>
              <w:rPr>
                <w:sz w:val="4"/>
                <w:szCs w:val="4"/>
              </w:rPr>
            </w:r>
          </w:p>
        </w:tc>
      </w:tr>
      <w:tr>
        <w:trPr/>
        <w:tc>
          <w:tcPr>
            <w:tcW w:w="294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7136" w:type="dxa"/>
            <w:tcBorders/>
          </w:tcPr>
          <w:p>
            <w:pPr>
              <w:pStyle w:val="TableContents"/>
              <w:bidi w:val="0"/>
              <w:spacing w:before="0" w:after="283"/>
              <w:jc w:val="left"/>
              <w:rPr/>
            </w:pPr>
            <w:r>
              <w:rPr/>
              <w:t>candidates; and (v) general corporate purposes, including working capital, operating expenses and capital expenditures, as well as potential expansion of our research pipeline. See “Use of Proceeds” in the Convertible Note Preliminary Prospectus Supplement.</w:t>
            </w:r>
          </w:p>
        </w:tc>
      </w:tr>
      <w:tr>
        <w:trPr>
          <w:trHeight w:val="120" w:hRule="atLeast"/>
        </w:trPr>
        <w:tc>
          <w:tcPr>
            <w:tcW w:w="2948" w:type="dxa"/>
            <w:tcBorders/>
            <w:vAlign w:val="center"/>
          </w:tcPr>
          <w:p>
            <w:pPr>
              <w:pStyle w:val="TableContents"/>
              <w:bidi w:val="0"/>
              <w:spacing w:before="0" w:after="283"/>
              <w:jc w:val="left"/>
              <w:rPr>
                <w:sz w:val="4"/>
                <w:szCs w:val="4"/>
              </w:rPr>
            </w:pPr>
            <w:r>
              <w:rPr>
                <w:sz w:val="4"/>
                <w:szCs w:val="4"/>
              </w:rPr>
            </w:r>
          </w:p>
        </w:tc>
        <w:tc>
          <w:tcPr>
            <w:tcW w:w="7257" w:type="dxa"/>
            <w:gridSpan w:val="2"/>
            <w:tcBorders/>
            <w:vAlign w:val="center"/>
          </w:tcPr>
          <w:p>
            <w:pPr>
              <w:pStyle w:val="TableContents"/>
              <w:bidi w:val="0"/>
              <w:spacing w:before="0" w:after="283"/>
              <w:jc w:val="left"/>
              <w:rPr>
                <w:sz w:val="4"/>
                <w:szCs w:val="4"/>
              </w:rPr>
            </w:pPr>
            <w:r>
              <w:rPr>
                <w:sz w:val="4"/>
                <w:szCs w:val="4"/>
              </w:rPr>
            </w:r>
          </w:p>
        </w:tc>
      </w:tr>
      <w:tr>
        <w:trPr/>
        <w:tc>
          <w:tcPr>
            <w:tcW w:w="2948" w:type="dxa"/>
            <w:tcBorders/>
          </w:tcPr>
          <w:p>
            <w:pPr>
              <w:pStyle w:val="TableContents"/>
              <w:bidi w:val="0"/>
              <w:spacing w:before="0" w:after="283"/>
              <w:jc w:val="left"/>
              <w:rPr/>
            </w:pPr>
            <w:r>
              <w:rPr/>
              <w:t>Book-Running Managers</w:t>
            </w:r>
          </w:p>
        </w:tc>
        <w:tc>
          <w:tcPr>
            <w:tcW w:w="121" w:type="dxa"/>
            <w:tcBorders/>
            <w:vAlign w:val="bottom"/>
          </w:tcPr>
          <w:p>
            <w:pPr>
              <w:pStyle w:val="TableContents"/>
              <w:bidi w:val="0"/>
              <w:spacing w:before="0" w:after="283"/>
              <w:jc w:val="left"/>
              <w:rPr/>
            </w:pPr>
            <w:r>
              <w:rPr/>
              <w:t>  </w:t>
            </w:r>
          </w:p>
        </w:tc>
        <w:tc>
          <w:tcPr>
            <w:tcW w:w="7136" w:type="dxa"/>
            <w:tcBorders/>
          </w:tcPr>
          <w:p>
            <w:pPr>
              <w:pStyle w:val="TableContents"/>
              <w:bidi w:val="0"/>
              <w:spacing w:before="0" w:after="283"/>
              <w:jc w:val="left"/>
              <w:rPr/>
            </w:pPr>
            <w:r>
              <w:rPr/>
              <w:t>Jefferies LLC</w:t>
            </w:r>
          </w:p>
        </w:tc>
      </w:tr>
      <w:tr>
        <w:trPr/>
        <w:tc>
          <w:tcPr>
            <w:tcW w:w="294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7136" w:type="dxa"/>
            <w:tcBorders/>
          </w:tcPr>
          <w:p>
            <w:pPr>
              <w:pStyle w:val="TableContents"/>
              <w:bidi w:val="0"/>
              <w:spacing w:before="0" w:after="283"/>
              <w:jc w:val="left"/>
              <w:rPr/>
            </w:pPr>
            <w:r>
              <w:rPr/>
              <w:t>Leerink Partners LLC</w:t>
            </w:r>
          </w:p>
        </w:tc>
      </w:tr>
      <w:tr>
        <w:trPr/>
        <w:tc>
          <w:tcPr>
            <w:tcW w:w="294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7136" w:type="dxa"/>
            <w:tcBorders/>
          </w:tcPr>
          <w:p>
            <w:pPr>
              <w:pStyle w:val="TableContents"/>
              <w:bidi w:val="0"/>
              <w:spacing w:before="0" w:after="283"/>
              <w:jc w:val="left"/>
              <w:rPr/>
            </w:pPr>
            <w:r>
              <w:rPr/>
              <w:t>BofA Securities, Inc.</w:t>
            </w:r>
          </w:p>
        </w:tc>
      </w:tr>
      <w:tr>
        <w:trPr/>
        <w:tc>
          <w:tcPr>
            <w:tcW w:w="294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7136" w:type="dxa"/>
            <w:tcBorders/>
          </w:tcPr>
          <w:p>
            <w:pPr>
              <w:pStyle w:val="TableContents"/>
              <w:bidi w:val="0"/>
              <w:spacing w:before="0" w:after="283"/>
              <w:jc w:val="left"/>
              <w:rPr/>
            </w:pPr>
            <w:r>
              <w:rPr/>
              <w:t>Goldman Sachs &amp; Co. LLC</w:t>
            </w:r>
          </w:p>
        </w:tc>
      </w:tr>
      <w:tr>
        <w:trPr/>
        <w:tc>
          <w:tcPr>
            <w:tcW w:w="294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7136" w:type="dxa"/>
            <w:tcBorders/>
          </w:tcPr>
          <w:p>
            <w:pPr>
              <w:pStyle w:val="TableContents"/>
              <w:bidi w:val="0"/>
              <w:spacing w:before="0" w:after="283"/>
              <w:jc w:val="left"/>
              <w:rPr/>
            </w:pPr>
            <w:r>
              <w:rPr/>
              <w:t>Evercore Group L.L.C.</w:t>
            </w:r>
          </w:p>
        </w:tc>
      </w:tr>
      <w:tr>
        <w:trPr>
          <w:trHeight w:val="120" w:hRule="atLeast"/>
        </w:trPr>
        <w:tc>
          <w:tcPr>
            <w:tcW w:w="2948" w:type="dxa"/>
            <w:tcBorders/>
            <w:vAlign w:val="center"/>
          </w:tcPr>
          <w:p>
            <w:pPr>
              <w:pStyle w:val="TableContents"/>
              <w:bidi w:val="0"/>
              <w:spacing w:before="0" w:after="283"/>
              <w:jc w:val="left"/>
              <w:rPr>
                <w:sz w:val="4"/>
                <w:szCs w:val="4"/>
              </w:rPr>
            </w:pPr>
            <w:r>
              <w:rPr>
                <w:sz w:val="4"/>
                <w:szCs w:val="4"/>
              </w:rPr>
            </w:r>
          </w:p>
        </w:tc>
        <w:tc>
          <w:tcPr>
            <w:tcW w:w="7257" w:type="dxa"/>
            <w:gridSpan w:val="2"/>
            <w:tcBorders/>
            <w:vAlign w:val="center"/>
          </w:tcPr>
          <w:p>
            <w:pPr>
              <w:pStyle w:val="TableContents"/>
              <w:bidi w:val="0"/>
              <w:spacing w:before="0" w:after="283"/>
              <w:jc w:val="left"/>
              <w:rPr>
                <w:sz w:val="4"/>
                <w:szCs w:val="4"/>
              </w:rPr>
            </w:pPr>
            <w:r>
              <w:rPr>
                <w:sz w:val="4"/>
                <w:szCs w:val="4"/>
              </w:rPr>
            </w:r>
          </w:p>
        </w:tc>
      </w:tr>
      <w:tr>
        <w:trPr/>
        <w:tc>
          <w:tcPr>
            <w:tcW w:w="2948" w:type="dxa"/>
            <w:tcBorders/>
          </w:tcPr>
          <w:p>
            <w:pPr>
              <w:pStyle w:val="TableContents"/>
              <w:bidi w:val="0"/>
              <w:spacing w:before="0" w:after="283"/>
              <w:jc w:val="left"/>
              <w:rPr/>
            </w:pPr>
            <w:r>
              <w:rPr/>
              <w:t>Bookrunners</w:t>
            </w:r>
          </w:p>
        </w:tc>
        <w:tc>
          <w:tcPr>
            <w:tcW w:w="121" w:type="dxa"/>
            <w:tcBorders/>
            <w:vAlign w:val="bottom"/>
          </w:tcPr>
          <w:p>
            <w:pPr>
              <w:pStyle w:val="TableContents"/>
              <w:bidi w:val="0"/>
              <w:spacing w:before="0" w:after="283"/>
              <w:jc w:val="left"/>
              <w:rPr/>
            </w:pPr>
            <w:r>
              <w:rPr/>
              <w:t>  </w:t>
            </w:r>
          </w:p>
        </w:tc>
        <w:tc>
          <w:tcPr>
            <w:tcW w:w="7136" w:type="dxa"/>
            <w:tcBorders/>
          </w:tcPr>
          <w:p>
            <w:pPr>
              <w:pStyle w:val="TableContents"/>
              <w:bidi w:val="0"/>
              <w:spacing w:before="0" w:after="283"/>
              <w:jc w:val="left"/>
              <w:rPr/>
            </w:pPr>
            <w:r>
              <w:rPr/>
              <w:t>Guggenheim Securities, LLC</w:t>
            </w:r>
          </w:p>
        </w:tc>
      </w:tr>
      <w:tr>
        <w:trPr/>
        <w:tc>
          <w:tcPr>
            <w:tcW w:w="294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7136" w:type="dxa"/>
            <w:tcBorders/>
          </w:tcPr>
          <w:p>
            <w:pPr>
              <w:pStyle w:val="TableContents"/>
              <w:bidi w:val="0"/>
              <w:spacing w:before="0" w:after="283"/>
              <w:jc w:val="left"/>
              <w:rPr/>
            </w:pPr>
            <w:r>
              <w:rPr/>
              <w:t>Mizuho Securities USA LLC</w:t>
            </w:r>
          </w:p>
        </w:tc>
      </w:tr>
      <w:tr>
        <w:trPr>
          <w:trHeight w:val="120" w:hRule="atLeast"/>
        </w:trPr>
        <w:tc>
          <w:tcPr>
            <w:tcW w:w="2948" w:type="dxa"/>
            <w:tcBorders/>
            <w:vAlign w:val="center"/>
          </w:tcPr>
          <w:p>
            <w:pPr>
              <w:pStyle w:val="TableContents"/>
              <w:bidi w:val="0"/>
              <w:spacing w:before="0" w:after="283"/>
              <w:jc w:val="left"/>
              <w:rPr>
                <w:sz w:val="4"/>
                <w:szCs w:val="4"/>
              </w:rPr>
            </w:pPr>
            <w:r>
              <w:rPr>
                <w:sz w:val="4"/>
                <w:szCs w:val="4"/>
              </w:rPr>
            </w:r>
          </w:p>
        </w:tc>
        <w:tc>
          <w:tcPr>
            <w:tcW w:w="7257" w:type="dxa"/>
            <w:gridSpan w:val="2"/>
            <w:tcBorders/>
            <w:vAlign w:val="center"/>
          </w:tcPr>
          <w:p>
            <w:pPr>
              <w:pStyle w:val="TableContents"/>
              <w:bidi w:val="0"/>
              <w:spacing w:before="0" w:after="283"/>
              <w:jc w:val="left"/>
              <w:rPr>
                <w:sz w:val="4"/>
                <w:szCs w:val="4"/>
              </w:rPr>
            </w:pPr>
            <w:r>
              <w:rPr>
                <w:sz w:val="4"/>
                <w:szCs w:val="4"/>
              </w:rPr>
            </w:r>
          </w:p>
        </w:tc>
      </w:tr>
      <w:tr>
        <w:trPr/>
        <w:tc>
          <w:tcPr>
            <w:tcW w:w="2948" w:type="dxa"/>
            <w:tcBorders/>
          </w:tcPr>
          <w:p>
            <w:pPr>
              <w:pStyle w:val="TableContents"/>
              <w:bidi w:val="0"/>
              <w:spacing w:before="0" w:after="283"/>
              <w:jc w:val="left"/>
              <w:rPr/>
            </w:pPr>
            <w:r>
              <w:rPr/>
              <w:t>Lead Manager</w:t>
            </w:r>
          </w:p>
        </w:tc>
        <w:tc>
          <w:tcPr>
            <w:tcW w:w="121" w:type="dxa"/>
            <w:tcBorders/>
            <w:vAlign w:val="bottom"/>
          </w:tcPr>
          <w:p>
            <w:pPr>
              <w:pStyle w:val="TableContents"/>
              <w:bidi w:val="0"/>
              <w:spacing w:before="0" w:after="283"/>
              <w:jc w:val="left"/>
              <w:rPr/>
            </w:pPr>
            <w:r>
              <w:rPr/>
              <w:t>  </w:t>
            </w:r>
          </w:p>
        </w:tc>
        <w:tc>
          <w:tcPr>
            <w:tcW w:w="7136" w:type="dxa"/>
            <w:tcBorders/>
          </w:tcPr>
          <w:p>
            <w:pPr>
              <w:pStyle w:val="TableContents"/>
              <w:bidi w:val="0"/>
              <w:spacing w:before="0" w:after="283"/>
              <w:jc w:val="left"/>
              <w:rPr/>
            </w:pPr>
            <w:r>
              <w:rPr/>
              <w:t>Needham &amp; Company, LLC</w:t>
            </w:r>
          </w:p>
        </w:tc>
      </w:tr>
      <w:tr>
        <w:trPr>
          <w:trHeight w:val="120" w:hRule="atLeast"/>
        </w:trPr>
        <w:tc>
          <w:tcPr>
            <w:tcW w:w="2948" w:type="dxa"/>
            <w:tcBorders/>
            <w:vAlign w:val="center"/>
          </w:tcPr>
          <w:p>
            <w:pPr>
              <w:pStyle w:val="TableContents"/>
              <w:bidi w:val="0"/>
              <w:spacing w:before="0" w:after="283"/>
              <w:jc w:val="left"/>
              <w:rPr>
                <w:sz w:val="4"/>
                <w:szCs w:val="4"/>
              </w:rPr>
            </w:pPr>
            <w:r>
              <w:rPr>
                <w:sz w:val="4"/>
                <w:szCs w:val="4"/>
              </w:rPr>
            </w:r>
          </w:p>
        </w:tc>
        <w:tc>
          <w:tcPr>
            <w:tcW w:w="7257" w:type="dxa"/>
            <w:gridSpan w:val="2"/>
            <w:tcBorders/>
            <w:vAlign w:val="center"/>
          </w:tcPr>
          <w:p>
            <w:pPr>
              <w:pStyle w:val="TableContents"/>
              <w:bidi w:val="0"/>
              <w:spacing w:before="0" w:after="283"/>
              <w:jc w:val="left"/>
              <w:rPr>
                <w:sz w:val="4"/>
                <w:szCs w:val="4"/>
              </w:rPr>
            </w:pPr>
            <w:r>
              <w:rPr>
                <w:sz w:val="4"/>
                <w:szCs w:val="4"/>
              </w:rPr>
            </w:r>
          </w:p>
        </w:tc>
      </w:tr>
      <w:tr>
        <w:trPr/>
        <w:tc>
          <w:tcPr>
            <w:tcW w:w="2948" w:type="dxa"/>
            <w:tcBorders/>
          </w:tcPr>
          <w:p>
            <w:pPr>
              <w:pStyle w:val="TableContents"/>
              <w:bidi w:val="0"/>
              <w:spacing w:before="0" w:after="283"/>
              <w:jc w:val="left"/>
              <w:rPr/>
            </w:pPr>
            <w:r>
              <w:rPr/>
              <w:t>CUSIP / ISIN Numbers for the Notes</w:t>
            </w:r>
          </w:p>
        </w:tc>
        <w:tc>
          <w:tcPr>
            <w:tcW w:w="121" w:type="dxa"/>
            <w:tcBorders/>
            <w:vAlign w:val="bottom"/>
          </w:tcPr>
          <w:p>
            <w:pPr>
              <w:pStyle w:val="TableContents"/>
              <w:bidi w:val="0"/>
              <w:spacing w:before="0" w:after="283"/>
              <w:jc w:val="left"/>
              <w:rPr/>
            </w:pPr>
            <w:r>
              <w:rPr/>
              <w:t>  </w:t>
            </w:r>
          </w:p>
        </w:tc>
        <w:tc>
          <w:tcPr>
            <w:tcW w:w="7136" w:type="dxa"/>
            <w:tcBorders/>
          </w:tcPr>
          <w:p>
            <w:pPr>
              <w:pStyle w:val="TableContents"/>
              <w:bidi w:val="0"/>
              <w:spacing w:before="0" w:after="283"/>
              <w:jc w:val="left"/>
              <w:rPr/>
            </w:pPr>
            <w:r>
              <w:rPr/>
              <w:t>92243G AA6 / US92243GAA67.</w:t>
            </w:r>
          </w:p>
        </w:tc>
      </w:tr>
      <w:tr>
        <w:trPr>
          <w:trHeight w:val="120" w:hRule="atLeast"/>
        </w:trPr>
        <w:tc>
          <w:tcPr>
            <w:tcW w:w="2948" w:type="dxa"/>
            <w:tcBorders/>
            <w:vAlign w:val="center"/>
          </w:tcPr>
          <w:p>
            <w:pPr>
              <w:pStyle w:val="TableContents"/>
              <w:bidi w:val="0"/>
              <w:spacing w:before="0" w:after="283"/>
              <w:jc w:val="left"/>
              <w:rPr>
                <w:sz w:val="4"/>
                <w:szCs w:val="4"/>
              </w:rPr>
            </w:pPr>
            <w:r>
              <w:rPr>
                <w:sz w:val="4"/>
                <w:szCs w:val="4"/>
              </w:rPr>
            </w:r>
          </w:p>
        </w:tc>
        <w:tc>
          <w:tcPr>
            <w:tcW w:w="7257" w:type="dxa"/>
            <w:gridSpan w:val="2"/>
            <w:tcBorders/>
            <w:vAlign w:val="center"/>
          </w:tcPr>
          <w:p>
            <w:pPr>
              <w:pStyle w:val="TableContents"/>
              <w:bidi w:val="0"/>
              <w:spacing w:before="0" w:after="283"/>
              <w:jc w:val="left"/>
              <w:rPr>
                <w:sz w:val="4"/>
                <w:szCs w:val="4"/>
              </w:rPr>
            </w:pPr>
            <w:r>
              <w:rPr>
                <w:sz w:val="4"/>
                <w:szCs w:val="4"/>
              </w:rPr>
            </w:r>
          </w:p>
        </w:tc>
      </w:tr>
      <w:tr>
        <w:trPr/>
        <w:tc>
          <w:tcPr>
            <w:tcW w:w="2948" w:type="dxa"/>
            <w:tcBorders/>
          </w:tcPr>
          <w:p>
            <w:pPr>
              <w:pStyle w:val="TableContents"/>
              <w:bidi w:val="0"/>
              <w:spacing w:before="0" w:after="0"/>
              <w:jc w:val="left"/>
              <w:rPr>
                <w:rFonts w:ascii="Times New Roman" w:hAnsi="Times New Roman"/>
                <w:sz w:val="20"/>
              </w:rPr>
            </w:pPr>
            <w:r>
              <w:rPr>
                <w:rFonts w:ascii="Times New Roman" w:hAnsi="Times New Roman"/>
                <w:sz w:val="20"/>
              </w:rPr>
              <w:t>Increase to Conversion Rate in Connection with a Make-Whole Fundamental Change</w:t>
            </w:r>
          </w:p>
        </w:tc>
        <w:tc>
          <w:tcPr>
            <w:tcW w:w="121" w:type="dxa"/>
            <w:tcBorders/>
            <w:vAlign w:val="bottom"/>
          </w:tcPr>
          <w:p>
            <w:pPr>
              <w:pStyle w:val="TableContents"/>
              <w:bidi w:val="0"/>
              <w:spacing w:before="0" w:after="283"/>
              <w:jc w:val="left"/>
              <w:rPr/>
            </w:pPr>
            <w:r>
              <w:rPr/>
              <w:t>  </w:t>
            </w:r>
          </w:p>
        </w:tc>
        <w:tc>
          <w:tcPr>
            <w:tcW w:w="7136" w:type="dxa"/>
            <w:tcBorders/>
          </w:tcPr>
          <w:p>
            <w:pPr>
              <w:pStyle w:val="TableContents"/>
              <w:bidi w:val="0"/>
              <w:spacing w:before="0" w:after="283"/>
              <w:jc w:val="left"/>
              <w:rPr/>
            </w:pPr>
            <w:r>
              <w:rPr/>
              <w:t>If a make-whole fundamental change occurs with respect to any Note and the conversion date for the conversion of such Note occurs during the related make-whole fundamental change conversion period, then, subject to the provisions described in the Convertible Note Preliminary Prospectus Supplement under the caption “Description of Notes—Conversion Rights—Increase in Conversion Rate in Connection with a Make-Whole Fundamental Change,” the conversion rate applicable to such conversion will be increased by a number of shares set forth in the table below corresponding (after interpolation, as described below) to the make-whole fundamental change effective date and the stock price of such make-whole fundamental change:</w:t>
            </w:r>
          </w:p>
        </w:tc>
      </w:tr>
    </w:tbl>
    <w:p>
      <w:pPr>
        <w:pStyle w:val="TextBody"/>
        <w:bidi w:val="0"/>
        <w:spacing w:before="0" w:after="0"/>
        <w:jc w:val="left"/>
        <w:rPr/>
      </w:pPr>
      <w:r>
        <w:rPr/>
        <w:t> </w:t>
      </w:r>
    </w:p>
    <w:tbl>
      <w:tblPr>
        <w:tblW w:w="11455" w:type="dxa"/>
        <w:jc w:val="center"/>
        <w:tblInd w:w="0" w:type="dxa"/>
        <w:tblLayout w:type="fixed"/>
        <w:tblCellMar>
          <w:top w:w="0" w:type="dxa"/>
          <w:left w:w="0" w:type="dxa"/>
          <w:bottom w:w="0" w:type="dxa"/>
          <w:right w:w="0" w:type="dxa"/>
        </w:tblCellMar>
      </w:tblPr>
      <w:tblGrid>
        <w:gridCol w:w="1835"/>
        <w:gridCol w:w="120"/>
        <w:gridCol w:w="60"/>
        <w:gridCol w:w="680"/>
        <w:gridCol w:w="60"/>
        <w:gridCol w:w="120"/>
        <w:gridCol w:w="60"/>
        <w:gridCol w:w="680"/>
        <w:gridCol w:w="60"/>
        <w:gridCol w:w="120"/>
        <w:gridCol w:w="60"/>
        <w:gridCol w:w="680"/>
        <w:gridCol w:w="60"/>
        <w:gridCol w:w="120"/>
        <w:gridCol w:w="64"/>
        <w:gridCol w:w="736"/>
        <w:gridCol w:w="60"/>
        <w:gridCol w:w="120"/>
        <w:gridCol w:w="64"/>
        <w:gridCol w:w="736"/>
        <w:gridCol w:w="60"/>
        <w:gridCol w:w="120"/>
        <w:gridCol w:w="64"/>
        <w:gridCol w:w="736"/>
        <w:gridCol w:w="60"/>
        <w:gridCol w:w="120"/>
        <w:gridCol w:w="64"/>
        <w:gridCol w:w="736"/>
        <w:gridCol w:w="60"/>
        <w:gridCol w:w="120"/>
        <w:gridCol w:w="64"/>
        <w:gridCol w:w="736"/>
        <w:gridCol w:w="60"/>
        <w:gridCol w:w="120"/>
        <w:gridCol w:w="64"/>
        <w:gridCol w:w="736"/>
        <w:gridCol w:w="60"/>
        <w:gridCol w:w="120"/>
        <w:gridCol w:w="64"/>
        <w:gridCol w:w="736"/>
        <w:gridCol w:w="60"/>
      </w:tblGrid>
      <w:tr>
        <w:trPr/>
        <w:tc>
          <w:tcPr>
            <w:tcW w:w="18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440" w:type="dxa"/>
            <w:gridSpan w:val="38"/>
            <w:tcBorders>
              <w:bottom w:val="single" w:sz="8" w:space="0" w:color="000000"/>
            </w:tcBorders>
            <w:tcMar>
              <w:bottom w:w="28" w:type="dxa"/>
            </w:tcMar>
            <w:vAlign w:val="bottom"/>
          </w:tcPr>
          <w:p>
            <w:pPr>
              <w:pStyle w:val="TableContents"/>
              <w:bidi w:val="0"/>
              <w:spacing w:before="0" w:after="283"/>
              <w:jc w:val="center"/>
              <w:rPr>
                <w:b/>
              </w:rPr>
            </w:pPr>
            <w:r>
              <w:rPr>
                <w:b/>
              </w:rPr>
              <w:t>Stock Price</w:t>
            </w:r>
          </w:p>
        </w:tc>
        <w:tc>
          <w:tcPr>
            <w:tcW w:w="60" w:type="dxa"/>
            <w:tcBorders/>
            <w:vAlign w:val="bottom"/>
          </w:tcPr>
          <w:p>
            <w:pPr>
              <w:pStyle w:val="TableContents"/>
              <w:bidi w:val="0"/>
              <w:spacing w:before="0" w:after="283"/>
              <w:jc w:val="left"/>
              <w:rPr/>
            </w:pPr>
            <w:r>
              <w:rPr/>
              <w:t> </w:t>
            </w:r>
          </w:p>
        </w:tc>
      </w:tr>
      <w:tr>
        <w:trPr/>
        <w:tc>
          <w:tcPr>
            <w:tcW w:w="183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Make-Whole</w:t>
            </w:r>
          </w:p>
          <w:p>
            <w:pPr>
              <w:pStyle w:val="TableContents"/>
              <w:bidi w:val="0"/>
              <w:spacing w:before="0" w:after="0"/>
              <w:jc w:val="left"/>
              <w:rPr>
                <w:rFonts w:ascii="Times New Roman" w:hAnsi="Times New Roman"/>
                <w:b/>
                <w:sz w:val="20"/>
              </w:rPr>
            </w:pPr>
            <w:r>
              <w:rPr>
                <w:rFonts w:ascii="Times New Roman" w:hAnsi="Times New Roman"/>
                <w:b/>
                <w:sz w:val="20"/>
              </w:rPr>
              <w:t>Fundamental Change</w:t>
            </w:r>
          </w:p>
          <w:p>
            <w:pPr>
              <w:pStyle w:val="TableContents"/>
              <w:pBdr>
                <w:bottom w:val="single" w:sz="8" w:space="1" w:color="000000"/>
              </w:pBdr>
              <w:bidi w:val="0"/>
              <w:spacing w:before="0" w:after="20"/>
              <w:jc w:val="left"/>
              <w:rPr>
                <w:rFonts w:ascii="Times New Roman" w:hAnsi="Times New Roman"/>
                <w:b/>
                <w:sz w:val="20"/>
              </w:rPr>
            </w:pPr>
            <w:r>
              <w:rPr>
                <w:rFonts w:ascii="Times New Roman" w:hAnsi="Times New Roman"/>
                <w:b/>
                <w:sz w:val="20"/>
              </w:rPr>
              <w:t>Effective Date</w:t>
            </w:r>
          </w:p>
        </w:tc>
        <w:tc>
          <w:tcPr>
            <w:tcW w:w="12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$64.00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$75.00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$89.60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$102.50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$116.48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$150.00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$225.00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$325.00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$475.00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$650.00</w:t>
            </w:r>
          </w:p>
        </w:tc>
        <w:tc>
          <w:tcPr>
            <w:tcW w:w="60" w:type="dxa"/>
            <w:tcBorders/>
            <w:vAlign w:val="bottom"/>
          </w:tcPr>
          <w:p>
            <w:pPr>
              <w:pStyle w:val="TableContents"/>
              <w:bidi w:val="0"/>
              <w:spacing w:before="0" w:after="283"/>
              <w:jc w:val="left"/>
              <w:rPr/>
            </w:pPr>
            <w:r>
              <w:rPr/>
              <w:t> </w:t>
            </w:r>
          </w:p>
        </w:tc>
      </w:tr>
      <w:tr>
        <w:trPr/>
        <w:tc>
          <w:tcPr>
            <w:tcW w:w="18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October 9, 2026</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4.4643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3.4015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2.4747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1.9262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1.5049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0.8977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0.3527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0.1234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0.0232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r>
      <w:tr>
        <w:trPr/>
        <w:tc>
          <w:tcPr>
            <w:tcW w:w="1835" w:type="dxa"/>
            <w:tcBorders/>
          </w:tcPr>
          <w:p>
            <w:pPr>
              <w:pStyle w:val="TableContents"/>
              <w:bidi w:val="0"/>
              <w:spacing w:before="0" w:after="0"/>
              <w:jc w:val="left"/>
              <w:rPr>
                <w:rFonts w:ascii="Times New Roman" w:hAnsi="Times New Roman"/>
                <w:sz w:val="20"/>
              </w:rPr>
            </w:pPr>
            <w:r>
              <w:rPr>
                <w:rFonts w:ascii="Times New Roman" w:hAnsi="Times New Roman"/>
                <w:sz w:val="20"/>
              </w:rPr>
              <w:t>October 15, 2027</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4.4643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3.3957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2.4289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1.8637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1.4348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0.8289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0.3068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0.0995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0.0151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r>
      <w:tr>
        <w:trPr/>
        <w:tc>
          <w:tcPr>
            <w:tcW w:w="18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October 15, 2028</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4.4643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3.3775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2.3605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1.7757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1.3394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0.7400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0.2524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0.0739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0.0076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r>
      <w:tr>
        <w:trPr/>
        <w:tc>
          <w:tcPr>
            <w:tcW w:w="1835" w:type="dxa"/>
            <w:tcBorders/>
          </w:tcPr>
          <w:p>
            <w:pPr>
              <w:pStyle w:val="TableContents"/>
              <w:bidi w:val="0"/>
              <w:spacing w:before="0" w:after="0"/>
              <w:jc w:val="left"/>
              <w:rPr>
                <w:rFonts w:ascii="Times New Roman" w:hAnsi="Times New Roman"/>
                <w:sz w:val="20"/>
              </w:rPr>
            </w:pPr>
            <w:r>
              <w:rPr>
                <w:rFonts w:ascii="Times New Roman" w:hAnsi="Times New Roman"/>
                <w:sz w:val="20"/>
              </w:rPr>
              <w:t>October 15, 2029</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4.4643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3.3049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2.2319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1.6296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1.1913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0.6147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0.1854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0.0468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0.0013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r>
      <w:tr>
        <w:trPr/>
        <w:tc>
          <w:tcPr>
            <w:tcW w:w="18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October 15, 2030</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4.4643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3.1395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1.3858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0.9584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0.4383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0.1082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0.0216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r>
      <w:tr>
        <w:trPr/>
        <w:tc>
          <w:tcPr>
            <w:tcW w:w="1835" w:type="dxa"/>
            <w:tcBorders/>
          </w:tcPr>
          <w:p>
            <w:pPr>
              <w:pStyle w:val="TableContents"/>
              <w:bidi w:val="0"/>
              <w:spacing w:before="0" w:after="0"/>
              <w:jc w:val="left"/>
              <w:rPr>
                <w:rFonts w:ascii="Times New Roman" w:hAnsi="Times New Roman"/>
                <w:sz w:val="20"/>
              </w:rPr>
            </w:pPr>
            <w:r>
              <w:rPr>
                <w:rFonts w:ascii="Times New Roman" w:hAnsi="Times New Roman"/>
                <w:sz w:val="20"/>
              </w:rPr>
              <w:t>October 15, 2031</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4.4643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2.8052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1.5648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0.9565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0.5792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0.2024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0.0364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0.0049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r>
      <w:tr>
        <w:trPr/>
        <w:tc>
          <w:tcPr>
            <w:tcW w:w="18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October 15, 2032</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4.4643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2.1727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such make-whole fundamental change effective date or stock price is not set forth in the table above, then: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such stock price is between two stock prices in the table above or the make-whole fundamental change effective date is between two dates in the table above, then the number of additional shares will be determined by straight-line interpolation between the numbers of additional shares set forth for the higher and lower stock prices in the table above or the earlier and later dates in the table above, based on a 365- or 366-day year, as applicable;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stock price is greater than $650.00 (subject to adjustment in the same manner as the stock prices set forth in the column headings of the table above are adjusted, as described in the Convertible Note Preliminary Prospectus Supplement under the caption “Description of Notes—Conversion Rights—Increase in Conversion Rate in Connection with a Make-Whole Fundamental Change—Adjustment of Stock Prices and Number of Additional Shares”), or less than $64.00 (subject to adjustment in the same manner), per share, then no additional shares will be added to the conversion rate.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in no event will the conversion rate be increased to an amount that exceeds 15.6250 shares of our Common Stock per $1,000 principal amount of Notes, which amount is subject to adjustment in the same manner as, and at the same time and for the same events for which, the conversion rate is required to be adjusted pursuant to the provisions described in the Convertible Note Preliminary Prospectus Supplement under the caption “Description of Notes—Conversion Rights—Conversion Rate Adjustments—Generally.” </w:t>
      </w:r>
    </w:p>
    <w:p>
      <w:pPr>
        <w:pStyle w:val="TextBody"/>
        <w:bidi w:val="0"/>
        <w:spacing w:before="240" w:after="0"/>
        <w:jc w:val="center"/>
        <w:rPr>
          <w:rFonts w:ascii="Times New Roman" w:hAnsi="Times New Roman"/>
          <w:sz w:val="20"/>
        </w:rPr>
      </w:pPr>
      <w:r>
        <w:rPr>
          <w:rFonts w:ascii="Times New Roman" w:hAnsi="Times New Roman"/>
          <w:sz w:val="20"/>
        </w:rPr>
        <w:t xml:space="preserve">* * * </w:t>
      </w:r>
    </w:p>
    <w:p>
      <w:pPr>
        <w:pStyle w:val="TextBody"/>
        <w:bidi w:val="0"/>
        <w:spacing w:before="240" w:after="0"/>
        <w:jc w:val="left"/>
        <w:rPr>
          <w:rFonts w:ascii="Times New Roman" w:hAnsi="Times New Roman"/>
          <w:sz w:val="20"/>
        </w:rPr>
      </w:pPr>
      <w:r>
        <w:rPr>
          <w:rFonts w:ascii="Times New Roman" w:hAnsi="Times New Roman"/>
          <w:b/>
          <w:sz w:val="20"/>
        </w:rPr>
        <w:t xml:space="preserve">We have filed a registration statement (including a prospectus) and the Preliminary Prospectus Supplements with the SEC for the offerings to which this communication relates. Before you invest, you should read the applicable Preliminary Prospectus Supplement and the prospectus in that registration statement and other documents we have filed with the SEC for more complete information about us and these offerings. You may get these documents free by visiting EDGAR on the SEC website at </w:t>
      </w:r>
      <w:r>
        <w:rPr>
          <w:rFonts w:ascii="Times New Roman" w:hAnsi="Times New Roman"/>
          <w:b/>
          <w:i/>
          <w:sz w:val="20"/>
        </w:rPr>
        <w:t>www.sec.gov</w:t>
      </w:r>
      <w:r>
        <w:rPr>
          <w:rFonts w:ascii="Times New Roman" w:hAnsi="Times New Roman"/>
          <w:b/>
          <w:sz w:val="20"/>
        </w:rPr>
        <w:t xml:space="preserve">. Alternatively, we, any underwriter or any dealer participating in the applicable offering will arrange to send you the applicable Preliminary Prospectus Supplement (or, when available, the applicable final prospectus supplement) and the accompanying prospectus upon request to: Jefferies LLC, Attention: Equity Syndicate Prospectus Department, 520 Madison Avenue, New York, New York 10022, by telephone at (877) 821-7388 or by email at Prospectus_Department@Jefferies.com; or Leerink Partners LLC, Attention: Syndicate Department, 53 State Street, 40th Floor, Boston, Massachusetts 02109, by telephone at (800) 808-7525, ext. 6105, or by email at syndicate@leerink.com.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The information in this pricing term sheet is not a complete description of the Common Stock, the Common Stock Offering, the Notes or the Convertible Note Offering. You should rely only on the information contained or incorporated by reference in the applicable Preliminary Prospectus Supplement and the accompanying prospectus, as supplemented by this pricing term sheet, in making an investment decision with respect to the Common Stock or the Notes. </w:t>
      </w:r>
    </w:p>
    <w:p>
      <w:pPr>
        <w:pStyle w:val="TextBody"/>
        <w:bidi w:val="0"/>
        <w:spacing w:before="240" w:after="0"/>
        <w:jc w:val="left"/>
        <w:rPr>
          <w:rFonts w:ascii="Times New Roman" w:hAnsi="Times New Roman"/>
          <w:b/>
          <w:sz w:val="20"/>
        </w:rPr>
      </w:pPr>
      <w:r>
        <w:rPr>
          <w:rFonts w:ascii="Times New Roman" w:hAnsi="Times New Roman"/>
          <w:b/>
          <w:sz w:val="20"/>
        </w:rPr>
        <w:t xml:space="preserve">ANY DISCLAIMERS OR OTHER NOTICES THAT MAY APPEAR BELOW ARE NOT APPLICABLE TO THIS COMMUNICATION AND SHOULD BE DISREGARDED. SUCH DISCLAIMERS OR OTHER NOTICES WERE AUTOMATICALLY GENERATED AS A RESULT OF THIS COMMUNICATION BEING SENT VIA BLOOMBERG OR ANOTHER EMAIL SYSTEM.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- 9 -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2754</Words>
  <Characters>15514</Characters>
  <CharactersWithSpaces>18507</CharactersWithSpaces>
  <Paragraphs>520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FWP</dc:title>
</cp:coreProperties>
</file>