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6371d424b5.htm"/>
        <w:bookmarkStart w:id="1" w:name="ksd17637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Registration No. 333-279735</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are not soliciting an offer to buy these securities in any state or other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5, 2026 </w:t>
      </w:r>
    </w:p>
    <w:p>
      <w:pPr>
        <w:pStyle w:val="TextBody"/>
        <w:bidi w:val="0"/>
        <w:spacing w:before="6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May 24, 2024) </w:t>
      </w:r>
    </w:p>
    <w:p>
      <w:pPr>
        <w:pStyle w:val="TextBody"/>
        <w:bidi w:val="0"/>
        <w:spacing w:before="100" w:after="0"/>
        <w:ind w:left="960" w:right="960" w:hanging="0"/>
        <w:jc w:val="center"/>
        <w:rPr/>
      </w:pPr>
      <w:r>
        <w:rPr/>
        <w:t xml:space="preserve">     </w:t>
      </w:r>
      <w:r>
        <w:rPr>
          <w:rFonts w:ascii="Times New Roman" w:hAnsi="Times New Roman"/>
          <w:b/>
          <w:sz w:val="26"/>
        </w:rPr>
        <w:t xml:space="preserve">Shares of Common Stock </w:t>
      </w:r>
    </w:p>
    <w:p>
      <w:pPr>
        <w:pStyle w:val="TextBody"/>
        <w:bidi w:val="0"/>
        <w:spacing w:before="100" w:after="0"/>
        <w:ind w:left="960" w:right="960" w:hanging="0"/>
        <w:jc w:val="center"/>
        <w:rPr>
          <w:rFonts w:ascii="Times New Roman" w:hAnsi="Times New Roman"/>
          <w:b/>
          <w:sz w:val="26"/>
        </w:rPr>
      </w:pPr>
      <w:r>
        <w:rPr>
          <w:rFonts w:ascii="Times New Roman" w:hAnsi="Times New Roman"/>
          <w:b/>
          <w:sz w:val="26"/>
        </w:rPr>
        <w:t xml:space="preserve">Pre-Funded Warrants to Purchase      Shares of Common Stock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912745" cy="4883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2745" cy="488315"/>
                    </a:xfrm>
                    <a:prstGeom prst="rect">
                      <a:avLst/>
                    </a:prstGeom>
                  </pic:spPr>
                </pic:pic>
              </a:graphicData>
            </a:graphic>
          </wp:inline>
        </w:drawing>
      </w:r>
      <w:r>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00" w:after="0"/>
        <w:ind w:left="960" w:right="960" w:hanging="0"/>
        <w:jc w:val="left"/>
        <w:rPr>
          <w:rFonts w:ascii="Times New Roman" w:hAnsi="Times New Roman"/>
          <w:sz w:val="18"/>
        </w:rPr>
      </w:pPr>
      <w:r>
        <w:rPr>
          <w:rFonts w:ascii="Times New Roman" w:hAnsi="Times New Roman"/>
          <w:sz w:val="18"/>
        </w:rPr>
        <w:t xml:space="preserve">We are offering      shares of our common stock and, in lieu of offering shares of our common stock to certain investors, pre-funded warrants to purchase      shares of our common stock. The purchase price of each pre-funded warrant will equal the price per share at which shares of common stock are being sold to the public in this offering, minus $0.001, and the exercise price of each pre-funded warrant will equal $0.001 per share of common stock. This prospectus supplement also relates to the offering of the shares of common stock issuable upon the exercise of such pre-funded warrants. </w:t>
      </w:r>
    </w:p>
    <w:p>
      <w:pPr>
        <w:pStyle w:val="TextBody"/>
        <w:bidi w:val="0"/>
        <w:spacing w:before="100" w:after="0"/>
        <w:ind w:left="960" w:right="960" w:hanging="0"/>
        <w:jc w:val="left"/>
        <w:rPr>
          <w:rFonts w:ascii="Times New Roman" w:hAnsi="Times New Roman"/>
          <w:sz w:val="18"/>
        </w:rPr>
      </w:pPr>
      <w:r>
        <w:rPr>
          <w:rFonts w:ascii="Times New Roman" w:hAnsi="Times New Roman"/>
          <w:sz w:val="18"/>
        </w:rPr>
        <w:t xml:space="preserve">Our common stock is listed on the Nasdaq Global Select Market under the symbol “PCVX.” The last reported sale price of our common stock on the Nasdaq Global Select Market on October 5, 2026 was $73.82 per share. We do not intend to list the pre-funded warrants on the Nasdaq Global Select Market or any other national securities exchange or nationally recognized trading system. </w:t>
      </w:r>
    </w:p>
    <w:p>
      <w:pPr>
        <w:pStyle w:val="TextBody"/>
        <w:bidi w:val="0"/>
        <w:spacing w:before="100" w:after="0"/>
        <w:ind w:left="960" w:right="960" w:hanging="0"/>
        <w:jc w:val="left"/>
        <w:rPr>
          <w:rFonts w:ascii="Times New Roman" w:hAnsi="Times New Roman"/>
          <w:sz w:val="18"/>
        </w:rPr>
      </w:pPr>
      <w:r>
        <w:rPr>
          <w:rFonts w:ascii="Times New Roman" w:hAnsi="Times New Roman"/>
          <w:sz w:val="18"/>
        </w:rPr>
        <w:t>Concurrently with this offering, we are offering, pursuant to a separate prospectus supplement,   % convertible senior notes due 2032, which we refer to as the “convertible notes”, in an aggregate principal amount of $   , plus up to an additional $    aggregate principal amount of convertible notes that the underwriters of the concurrent convertible note offering have the option to purchase from us. The completion of this offering is not contingent on the completion of the concurrent convertible note offering, and the completion of the concurrent convertible note offering is not contingent on the completion of this offering.</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00" w:after="0"/>
        <w:ind w:left="960" w:right="960" w:hanging="0"/>
        <w:jc w:val="left"/>
        <w:rPr/>
      </w:pPr>
      <w:r>
        <w:rPr>
          <w:rFonts w:ascii="Times New Roman" w:hAnsi="Times New Roman"/>
          <w:b/>
          <w:sz w:val="22"/>
        </w:rPr>
        <w:t>Investing in our common stock and pre-funded warrants involves risks that are described in the “</w:t>
      </w:r>
      <w:hyperlink w:anchor="supptoc176371_3">
        <w:r>
          <w:rPr>
            <w:rStyle w:val="InternetLink"/>
            <w:rFonts w:ascii="Times New Roman" w:hAnsi="Times New Roman"/>
            <w:b/>
            <w:sz w:val="22"/>
          </w:rPr>
          <w:t>Risk Factors</w:t>
        </w:r>
      </w:hyperlink>
      <w:r>
        <w:rPr>
          <w:rFonts w:ascii="Times New Roman" w:hAnsi="Times New Roman"/>
          <w:b/>
          <w:sz w:val="22"/>
        </w:rPr>
        <w:t xml:space="preserve">” section beginning on page S-13 of this prospectus supplement.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3598"/>
        <w:gridCol w:w="275"/>
        <w:gridCol w:w="173"/>
        <w:gridCol w:w="1012"/>
        <w:gridCol w:w="74"/>
        <w:gridCol w:w="276"/>
        <w:gridCol w:w="229"/>
        <w:gridCol w:w="1322"/>
        <w:gridCol w:w="73"/>
        <w:gridCol w:w="276"/>
        <w:gridCol w:w="172"/>
        <w:gridCol w:w="1013"/>
        <w:gridCol w:w="79"/>
      </w:tblGrid>
      <w:tr>
        <w:trPr/>
        <w:tc>
          <w:tcPr>
            <w:tcW w:w="359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59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7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359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27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3598"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commissions(1)</w:t>
            </w:r>
          </w:p>
        </w:tc>
        <w:tc>
          <w:tcPr>
            <w:tcW w:w="27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359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27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322"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the section titled “Underwriting” for additional information regarding compensation payable to the underwriters. </w:t>
            </w:r>
          </w:p>
        </w:tc>
      </w:tr>
    </w:tbl>
    <w:p>
      <w:pPr>
        <w:pStyle w:val="TextBody"/>
        <w:bidi w:val="0"/>
        <w:spacing w:before="100" w:after="0"/>
        <w:ind w:left="960" w:right="960" w:hanging="0"/>
        <w:jc w:val="left"/>
        <w:rPr>
          <w:rFonts w:ascii="Times New Roman" w:hAnsi="Times New Roman"/>
          <w:sz w:val="18"/>
        </w:rPr>
      </w:pPr>
      <w:r>
        <w:rPr>
          <w:rFonts w:ascii="Times New Roman" w:hAnsi="Times New Roman"/>
          <w:sz w:val="18"/>
        </w:rPr>
        <w:t xml:space="preserve">We have granted the underwriters an option to purchase up to an additional      shares of common stock from us at the public offering price, less underwriting discounts and commissions, for a period of 30 days following the date of this prospectus supplement. </w:t>
      </w:r>
    </w:p>
    <w:p>
      <w:pPr>
        <w:pStyle w:val="TextBody"/>
        <w:bidi w:val="0"/>
        <w:spacing w:before="10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other state securities commission has approved or disapproved of these securities or passed on the adequacy or accuracy of this prospectus supplement or the accompanying prospectus. Any representation to the contrary is a criminal offense. </w:t>
      </w:r>
    </w:p>
    <w:p>
      <w:pPr>
        <w:pStyle w:val="TextBody"/>
        <w:bidi w:val="0"/>
        <w:spacing w:before="100" w:after="0"/>
        <w:ind w:left="960" w:right="960" w:hanging="0"/>
        <w:jc w:val="left"/>
        <w:rPr>
          <w:rFonts w:ascii="Times New Roman" w:hAnsi="Times New Roman"/>
          <w:sz w:val="18"/>
        </w:rPr>
      </w:pPr>
      <w:r>
        <w:rPr>
          <w:rFonts w:ascii="Times New Roman" w:hAnsi="Times New Roman"/>
          <w:sz w:val="18"/>
        </w:rPr>
        <w:t xml:space="preserve">We expect to deliver the shares of common stock to investors in book-entry form through the facilities of The Depository Trust Company, and we expect to deliver the pre-funded warrants, on or about October  , 2026, which will be the second business day following the initial trade date for the shares offered pursuant to this prospectus supplement (this settlement cycle being referred to as “T+2”). Under Rule 15c6-1 under the Securities Exchange Act of 1934, as amended, trades in the secondary market generally are required to settle in one business day, unless the parties to any such trade expressly agree otherwise. Accordingly, purchasers who wish to trade the shares of common stock being offered hereby prior to the business day preceding the settlement date will be required, by virtue of the fact that the shares initially will settle T+2, to specify an alternate settlement cycle at the time of any such trade to prevent a failed settlement. Purchasers of the shares who wish to trade the shares prior to the business day preceding the settlement date should consult their own advisors.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00" w:after="0"/>
        <w:ind w:left="960" w:right="960" w:hanging="0"/>
        <w:jc w:val="center"/>
        <w:rPr>
          <w:rFonts w:ascii="Times New Roman" w:hAnsi="Times New Roman"/>
          <w:b/>
          <w:i/>
          <w:sz w:val="18"/>
        </w:rPr>
      </w:pPr>
      <w:r>
        <w:rPr>
          <w:rFonts w:ascii="Times New Roman" w:hAnsi="Times New Roman"/>
          <w:b/>
          <w:i/>
          <w:sz w:val="18"/>
        </w:rPr>
        <w:t xml:space="preserve">Bookrunning Managers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1060"/>
        <w:gridCol w:w="89"/>
        <w:gridCol w:w="1431"/>
        <w:gridCol w:w="88"/>
        <w:gridCol w:w="1576"/>
        <w:gridCol w:w="88"/>
        <w:gridCol w:w="1871"/>
        <w:gridCol w:w="89"/>
        <w:gridCol w:w="1933"/>
        <w:gridCol w:w="89"/>
        <w:gridCol w:w="1891"/>
      </w:tblGrid>
      <w:tr>
        <w:trPr/>
        <w:tc>
          <w:tcPr>
            <w:tcW w:w="10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60" w:type="dxa"/>
            <w:tcBorders/>
            <w:vAlign w:val="center"/>
          </w:tcPr>
          <w:p>
            <w:pPr>
              <w:pStyle w:val="TableContents"/>
              <w:bidi w:val="0"/>
              <w:spacing w:before="0" w:after="283"/>
              <w:jc w:val="left"/>
              <w:rPr>
                <w:sz w:val="4"/>
                <w:szCs w:val="4"/>
              </w:rPr>
            </w:pPr>
            <w:r>
              <w:rPr>
                <w:sz w:val="4"/>
                <w:szCs w:val="4"/>
              </w:rPr>
            </w:r>
          </w:p>
        </w:tc>
        <w:tc>
          <w:tcPr>
            <w:tcW w:w="1520" w:type="dxa"/>
            <w:gridSpan w:val="2"/>
            <w:tcBorders/>
            <w:vAlign w:val="center"/>
          </w:tcPr>
          <w:p>
            <w:pPr>
              <w:pStyle w:val="TableContents"/>
              <w:bidi w:val="0"/>
              <w:spacing w:before="0" w:after="283"/>
              <w:jc w:val="left"/>
              <w:rPr>
                <w:sz w:val="4"/>
                <w:szCs w:val="4"/>
              </w:rPr>
            </w:pPr>
            <w:r>
              <w:rPr>
                <w:sz w:val="4"/>
                <w:szCs w:val="4"/>
              </w:rPr>
            </w:r>
          </w:p>
        </w:tc>
        <w:tc>
          <w:tcPr>
            <w:tcW w:w="1664" w:type="dxa"/>
            <w:gridSpan w:val="2"/>
            <w:tcBorders/>
            <w:vAlign w:val="center"/>
          </w:tcPr>
          <w:p>
            <w:pPr>
              <w:pStyle w:val="TableContents"/>
              <w:bidi w:val="0"/>
              <w:spacing w:before="0" w:after="283"/>
              <w:jc w:val="left"/>
              <w:rPr>
                <w:sz w:val="4"/>
                <w:szCs w:val="4"/>
              </w:rPr>
            </w:pPr>
            <w:r>
              <w:rPr>
                <w:sz w:val="4"/>
                <w:szCs w:val="4"/>
              </w:rPr>
            </w:r>
          </w:p>
        </w:tc>
        <w:tc>
          <w:tcPr>
            <w:tcW w:w="1959"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c>
          <w:tcPr>
            <w:tcW w:w="1980"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tcPr>
          <w:p>
            <w:pPr>
              <w:pStyle w:val="TableContents"/>
              <w:bidi w:val="0"/>
              <w:spacing w:before="0" w:after="283"/>
              <w:jc w:val="left"/>
              <w:rPr>
                <w:b/>
              </w:rPr>
            </w:pPr>
            <w:r>
              <w:rPr>
                <w:b/>
              </w:rPr>
              <w:t>Jefferies</w:t>
            </w:r>
          </w:p>
        </w:tc>
        <w:tc>
          <w:tcPr>
            <w:tcW w:w="89" w:type="dxa"/>
            <w:tcBorders/>
            <w:vAlign w:val="bottom"/>
          </w:tcPr>
          <w:p>
            <w:pPr>
              <w:pStyle w:val="TableContents"/>
              <w:bidi w:val="0"/>
              <w:spacing w:before="0" w:after="283"/>
              <w:jc w:val="left"/>
              <w:rPr/>
            </w:pPr>
            <w:r>
              <w:rPr/>
              <w:t> </w:t>
            </w:r>
          </w:p>
        </w:tc>
        <w:tc>
          <w:tcPr>
            <w:tcW w:w="1431" w:type="dxa"/>
            <w:tcBorders/>
          </w:tcPr>
          <w:p>
            <w:pPr>
              <w:pStyle w:val="TableContents"/>
              <w:bidi w:val="0"/>
              <w:spacing w:before="0" w:after="0"/>
              <w:jc w:val="center"/>
              <w:rPr>
                <w:rFonts w:ascii="Times New Roman" w:hAnsi="Times New Roman"/>
                <w:b/>
                <w:sz w:val="26"/>
              </w:rPr>
            </w:pPr>
            <w:r>
              <w:rPr>
                <w:rFonts w:ascii="Times New Roman" w:hAnsi="Times New Roman"/>
                <w:b/>
                <w:sz w:val="26"/>
              </w:rPr>
              <w:t>Leerink</w:t>
            </w:r>
          </w:p>
          <w:p>
            <w:pPr>
              <w:pStyle w:val="TableContents"/>
              <w:bidi w:val="0"/>
              <w:spacing w:before="0" w:after="20"/>
              <w:jc w:val="center"/>
              <w:rPr>
                <w:rFonts w:ascii="Times New Roman" w:hAnsi="Times New Roman"/>
                <w:b/>
                <w:sz w:val="26"/>
              </w:rPr>
            </w:pPr>
            <w:r>
              <w:rPr>
                <w:rFonts w:ascii="Times New Roman" w:hAnsi="Times New Roman"/>
                <w:b/>
                <w:sz w:val="26"/>
              </w:rPr>
              <w:t>Partners</w:t>
            </w:r>
          </w:p>
        </w:tc>
        <w:tc>
          <w:tcPr>
            <w:tcW w:w="88"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0"/>
              <w:jc w:val="center"/>
              <w:rPr>
                <w:rFonts w:ascii="Times New Roman" w:hAnsi="Times New Roman"/>
                <w:b/>
                <w:sz w:val="26"/>
              </w:rPr>
            </w:pPr>
            <w:r>
              <w:rPr>
                <w:rFonts w:ascii="Times New Roman" w:hAnsi="Times New Roman"/>
                <w:b/>
                <w:sz w:val="26"/>
              </w:rPr>
              <w:t>BofA</w:t>
            </w:r>
          </w:p>
          <w:p>
            <w:pPr>
              <w:pStyle w:val="TableContents"/>
              <w:bidi w:val="0"/>
              <w:spacing w:before="0" w:after="20"/>
              <w:jc w:val="center"/>
              <w:rPr>
                <w:rFonts w:ascii="Times New Roman" w:hAnsi="Times New Roman"/>
                <w:b/>
                <w:sz w:val="26"/>
              </w:rPr>
            </w:pPr>
            <w:r>
              <w:rPr>
                <w:rFonts w:ascii="Times New Roman" w:hAnsi="Times New Roman"/>
                <w:b/>
                <w:sz w:val="26"/>
              </w:rPr>
              <w:t>Securities</w:t>
            </w:r>
          </w:p>
        </w:tc>
        <w:tc>
          <w:tcPr>
            <w:tcW w:w="88"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b/>
              </w:rPr>
            </w:pPr>
            <w:r>
              <w:rPr>
                <w:b/>
              </w:rPr>
              <w:t>Evercore ISI</w:t>
            </w:r>
          </w:p>
        </w:tc>
        <w:tc>
          <w:tcPr>
            <w:tcW w:w="89" w:type="dxa"/>
            <w:tcBorders/>
            <w:vAlign w:val="bottom"/>
          </w:tcPr>
          <w:p>
            <w:pPr>
              <w:pStyle w:val="TableContents"/>
              <w:bidi w:val="0"/>
              <w:spacing w:before="0" w:after="283"/>
              <w:jc w:val="left"/>
              <w:rPr/>
            </w:pPr>
            <w:r>
              <w:rPr/>
              <w:t> </w:t>
            </w:r>
          </w:p>
        </w:tc>
        <w:tc>
          <w:tcPr>
            <w:tcW w:w="1933" w:type="dxa"/>
            <w:tcBorders/>
          </w:tcPr>
          <w:p>
            <w:pPr>
              <w:pStyle w:val="TableContents"/>
              <w:bidi w:val="0"/>
              <w:spacing w:before="0" w:after="0"/>
              <w:jc w:val="center"/>
              <w:rPr>
                <w:rFonts w:ascii="Times New Roman" w:hAnsi="Times New Roman"/>
                <w:b/>
                <w:sz w:val="26"/>
              </w:rPr>
            </w:pPr>
            <w:r>
              <w:rPr>
                <w:rFonts w:ascii="Times New Roman" w:hAnsi="Times New Roman"/>
                <w:b/>
                <w:sz w:val="26"/>
              </w:rPr>
              <w:t>Goldman</w:t>
            </w:r>
          </w:p>
          <w:p>
            <w:pPr>
              <w:pStyle w:val="TableContents"/>
              <w:bidi w:val="0"/>
              <w:spacing w:before="0" w:after="0"/>
              <w:jc w:val="center"/>
              <w:rPr>
                <w:rFonts w:ascii="Times New Roman" w:hAnsi="Times New Roman"/>
                <w:b/>
                <w:sz w:val="26"/>
              </w:rPr>
            </w:pPr>
            <w:r>
              <w:rPr>
                <w:rFonts w:ascii="Times New Roman" w:hAnsi="Times New Roman"/>
                <w:b/>
                <w:sz w:val="26"/>
              </w:rPr>
              <w:t>Sachs &amp; Co.</w:t>
            </w:r>
          </w:p>
          <w:p>
            <w:pPr>
              <w:pStyle w:val="TableContents"/>
              <w:bidi w:val="0"/>
              <w:spacing w:before="0" w:after="20"/>
              <w:jc w:val="center"/>
              <w:rPr>
                <w:rFonts w:ascii="Times New Roman" w:hAnsi="Times New Roman"/>
                <w:b/>
                <w:sz w:val="26"/>
              </w:rPr>
            </w:pPr>
            <w:r>
              <w:rPr>
                <w:rFonts w:ascii="Times New Roman" w:hAnsi="Times New Roman"/>
                <w:b/>
                <w:sz w:val="26"/>
              </w:rPr>
              <w:t>LLC</w:t>
            </w:r>
          </w:p>
        </w:tc>
        <w:tc>
          <w:tcPr>
            <w:tcW w:w="89" w:type="dxa"/>
            <w:tcBorders/>
            <w:vAlign w:val="bottom"/>
          </w:tcPr>
          <w:p>
            <w:pPr>
              <w:pStyle w:val="TableContents"/>
              <w:bidi w:val="0"/>
              <w:spacing w:before="0" w:after="283"/>
              <w:jc w:val="left"/>
              <w:rPr/>
            </w:pPr>
            <w:r>
              <w:rPr/>
              <w:t> </w:t>
            </w:r>
          </w:p>
        </w:tc>
        <w:tc>
          <w:tcPr>
            <w:tcW w:w="1891" w:type="dxa"/>
            <w:tcBorders/>
          </w:tcPr>
          <w:p>
            <w:pPr>
              <w:pStyle w:val="TableContents"/>
              <w:bidi w:val="0"/>
              <w:spacing w:before="0" w:after="0"/>
              <w:jc w:val="center"/>
              <w:rPr>
                <w:rFonts w:ascii="Times New Roman" w:hAnsi="Times New Roman"/>
                <w:b/>
                <w:sz w:val="26"/>
              </w:rPr>
            </w:pPr>
            <w:r>
              <w:rPr>
                <w:rFonts w:ascii="Times New Roman" w:hAnsi="Times New Roman"/>
                <w:b/>
                <w:sz w:val="26"/>
              </w:rPr>
              <w:t>Guggenheim</w:t>
            </w:r>
          </w:p>
          <w:p>
            <w:pPr>
              <w:pStyle w:val="TableContents"/>
              <w:bidi w:val="0"/>
              <w:spacing w:before="0" w:after="20"/>
              <w:jc w:val="center"/>
              <w:rPr>
                <w:rFonts w:ascii="Times New Roman" w:hAnsi="Times New Roman"/>
                <w:b/>
                <w:sz w:val="26"/>
              </w:rPr>
            </w:pPr>
            <w:r>
              <w:rPr>
                <w:rFonts w:ascii="Times New Roman" w:hAnsi="Times New Roman"/>
                <w:b/>
                <w:sz w:val="26"/>
              </w:rPr>
              <w:t>Securities</w:t>
            </w:r>
          </w:p>
        </w:tc>
      </w:tr>
    </w:tbl>
    <w:p>
      <w:pPr>
        <w:pStyle w:val="TextBody"/>
        <w:bidi w:val="0"/>
        <w:spacing w:before="100" w:after="0"/>
        <w:ind w:left="960" w:right="960" w:hanging="0"/>
        <w:jc w:val="center"/>
        <w:rPr>
          <w:rFonts w:ascii="Times New Roman" w:hAnsi="Times New Roman"/>
          <w:b/>
          <w:i/>
          <w:sz w:val="18"/>
        </w:rPr>
      </w:pPr>
      <w:r>
        <w:rPr>
          <w:rFonts w:ascii="Times New Roman" w:hAnsi="Times New Roman"/>
          <w:b/>
          <w:i/>
          <w:sz w:val="18"/>
        </w:rPr>
        <w:t xml:space="preserve">Bookrunner </w:t>
      </w:r>
    </w:p>
    <w:p>
      <w:pPr>
        <w:pStyle w:val="TextBody"/>
        <w:bidi w:val="0"/>
        <w:spacing w:before="60" w:after="0"/>
        <w:ind w:left="960" w:right="960" w:hanging="0"/>
        <w:jc w:val="center"/>
        <w:rPr>
          <w:rFonts w:ascii="Times New Roman" w:hAnsi="Times New Roman"/>
          <w:b/>
          <w:sz w:val="26"/>
        </w:rPr>
      </w:pPr>
      <w:r>
        <w:rPr>
          <w:rFonts w:ascii="Times New Roman" w:hAnsi="Times New Roman"/>
          <w:b/>
          <w:sz w:val="26"/>
        </w:rPr>
        <w:t xml:space="preserve">Mizuho </w:t>
      </w:r>
    </w:p>
    <w:p>
      <w:pPr>
        <w:pStyle w:val="TextBody"/>
        <w:bidi w:val="0"/>
        <w:spacing w:before="100" w:after="0"/>
        <w:ind w:left="960" w:right="960" w:hanging="0"/>
        <w:jc w:val="center"/>
        <w:rPr>
          <w:rFonts w:ascii="Times New Roman" w:hAnsi="Times New Roman"/>
          <w:b/>
          <w:i/>
          <w:sz w:val="18"/>
        </w:rPr>
      </w:pPr>
      <w:r>
        <w:rPr>
          <w:rFonts w:ascii="Times New Roman" w:hAnsi="Times New Roman"/>
          <w:b/>
          <w:i/>
          <w:sz w:val="18"/>
        </w:rPr>
        <w:t xml:space="preserve">Lead Manager </w:t>
      </w:r>
    </w:p>
    <w:p>
      <w:pPr>
        <w:pStyle w:val="TextBody"/>
        <w:bidi w:val="0"/>
        <w:spacing w:before="60" w:after="0"/>
        <w:ind w:left="960" w:right="960" w:hanging="0"/>
        <w:jc w:val="center"/>
        <w:rPr>
          <w:rFonts w:ascii="Times New Roman" w:hAnsi="Times New Roman"/>
          <w:b/>
          <w:sz w:val="22"/>
        </w:rPr>
      </w:pPr>
      <w:r>
        <w:rPr>
          <w:rFonts w:ascii="Times New Roman" w:hAnsi="Times New Roman"/>
          <w:b/>
          <w:sz w:val="22"/>
        </w:rPr>
        <w:t xml:space="preserve">BTIG </w:t>
      </w:r>
    </w:p>
    <w:p>
      <w:pPr>
        <w:pStyle w:val="TextBody"/>
        <w:bidi w:val="0"/>
        <w:spacing w:before="100" w:after="0"/>
        <w:ind w:left="960" w:right="960" w:hanging="0"/>
        <w:jc w:val="center"/>
        <w:rPr>
          <w:rFonts w:ascii="Times New Roman" w:hAnsi="Times New Roman"/>
          <w:b/>
          <w:sz w:val="18"/>
        </w:rPr>
      </w:pPr>
      <w:r>
        <w:rPr>
          <w:rFonts w:ascii="Times New Roman" w:hAnsi="Times New Roman"/>
          <w:b/>
          <w:sz w:val="18"/>
        </w:rPr>
        <w:t xml:space="preserve">Prospectus supplement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7">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8">
              <w:r>
                <w:rPr>
                  <w:rStyle w:val="InternetLink"/>
                  <w:rFonts w:ascii="Times New Roman" w:hAnsi="Times New Roman"/>
                  <w:sz w:val="20"/>
                </w:rPr>
                <w:t xml:space="preserve">DILUTION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9">
              <w:r>
                <w:rPr>
                  <w:rStyle w:val="InternetLink"/>
                  <w:rFonts w:ascii="Times New Roman" w:hAnsi="Times New Roman"/>
                  <w:sz w:val="20"/>
                </w:rPr>
                <w:t xml:space="preserve">THE CONCURRENT CONVERTIBLE NOTE OFFERING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0">
              <w:r>
                <w:rPr>
                  <w:rStyle w:val="InternetLink"/>
                  <w:rFonts w:ascii="Times New Roman" w:hAnsi="Times New Roman"/>
                  <w:sz w:val="20"/>
                </w:rPr>
                <w:t xml:space="preserve">DESCRIPTION OF PRE-FUNDED WARRANTS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1">
              <w:r>
                <w:rPr>
                  <w:rStyle w:val="InternetLink"/>
                  <w:rFonts w:ascii="Times New Roman" w:hAnsi="Times New Roman"/>
                  <w:sz w:val="20"/>
                </w:rPr>
                <w:t>U.S. FEDERAL INCOME TAX CONSIDERATIONS FOR NON-U.S. HOLDERS OF OUR COMMON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2">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5">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176371_16">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7637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an offering of our common stock and pre-funded warrants. Before buying any of the common stock or pre-funded warrants that we are offering, we urge you to carefully read this prospectus supplement and the accompanying prospectus,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pre-funded warrants and also adds to, updates and changes information contained in the accompanying prospectus and the documents incorporated by reference herein and therein. The second part is the accompanying prospectus, which gives more general information. To the extent the information contained in this prospectus supplement differs from or conflicts with the information contained in the accompanying prospectus or any document incorporated by reference herein or therein, the information in this prospectus supplement will control. If any statement in one of these documents is inconsistent with a statement in another document having a later date—for example, a document incorporated by reference into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 we have authorized for use in connection with this offering. We take, and the underwriters take, no responsibility for, and can provide no assurance as to the reliability of, any other information that others may give you. We are offering to sell, and seeking offers to buy, shares of our common stock and pre-funded warrants only in jurisdictions where offers and sales are permitted. The information contained in this prospectus supplement, the accompanying prospectus and any authorized free writing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shares of our common stock and pre-funded warrants. Our business, financial condition, results of operations and prospects may have changed since those dates. You should read this prospectus supplement and the accompanying prospectus, as well as the documents incorporated by reference into this prospectus supplement and the accompanying prospectus,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done anything that would permit this offering or possession or distribution of this prospectus supplement and the accompanying prospectus in any jurisdiction where action for that purpose is required, other than in the United States. Persons who come into possession of this prospectus supplement, the accompanying prospectus and any free writing prospectus related to this offering in jurisdictions outside the United States are required to inform themselves about and to observe any restrictions as to this offering and the distribution of this prospectus supplement, the accompanying prospectus and any such free writing prospectus applicable to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supplement to “we,” “us,” “our,” “our company” and “Vaxcyte” refer to Vaxcyte, Inc. and its consolidated subsidiary,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may include trademarks, service marks and trade names owned by us or other companies. All trademarks, service marks and trade names included or incorporated by reference into this prospectus supplement or the accompanying prospectus are the property of their respective owners. Vaxcyte, the Vaxcyte logo and our other registered or common law trade names, trademarks or service marks appearing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the accompanying prospectus and the documents incorporated by reference herein and therein are the property of Vaxcyte, Inc. or exclusively licensed for Vaxcyte’s use. Solely for convenience, trademarks and tradenames referred to in this prospectus supplement, the accompanying prospectus and the documents incorporated by reference herein and therein may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176371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supplement and the accompanying prospectus. This summary does not contain all the information you should consider before investing in our common stock and pre-funded warrants. You should read and consider carefully the more detailed information in this prospectus supplement and the accompanying prospectus (including the documents incorporated by reference herein and therein), including the factors described under the heading “Risk Factors” in this prospectus supplement and documents incorporated by reference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vaccine innovation company engineering high-fidelity vaccines to protect humankind from the consequences of bacterial diseases. We are re-engineering the way highly complex vaccines are made through the XpressCF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Vaccines are one of the most successful and cost-effective global health interventions and prevent millions of deaths worldwide each year. Routine pediatric vaccinations in the United States are estimated to prevent approximately 17 million cases of disease over the lifetimes of each annual birth cohort, and it is estimated that every $1 spent on childhood vaccination results in savings of approximately $11. Adult vaccination has increased with the introduction of new vaccines along with expanded age recommendations and growing international adoption, which is contributing to the growth of the overall vaccine market. Given the critical role vaccines play in preventing disease from childhood through adulthood, the global vaccine market is large, durable and growing. There are areas of significant unmet medical need, including vaccines that can provide broader protection, against both currently circulating and historically prevalent strains,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5960" cy="2531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5960" cy="253174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includes: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candidates that we believe are among the broadest-spectrum PCV candidates currently in development, targeting the approximately $8.5 billion global pneumococcal vaccine market. Pneumococcal disease (“PD”) is an infection caused by </w:t>
            </w:r>
            <w:r>
              <w:rPr>
                <w:rFonts w:ascii="Times New Roman" w:hAnsi="Times New Roman"/>
                <w:i/>
                <w:sz w:val="20"/>
              </w:rPr>
              <w:t xml:space="preserve">Streptococcus pneumoniae </w:t>
            </w:r>
            <w:r>
              <w:rPr>
                <w:rFonts w:ascii="Times New Roman" w:hAnsi="Times New Roman"/>
                <w:sz w:val="20"/>
              </w:rPr>
              <w:t xml:space="preserve">bacteria. It can result in invasive pneumococcal disease (“IPD”), including meningitis and bacteremia, and non-invasive PD, including pneumonia, otitis media and sinusitis. Our broad-spectrum, carrier-sparing PCV candidates, VAX-31, VAX-24 and VAX-XL, are designed to improve upon standard-of-care PCVs for both adults and children by covering the serotypes that are responsible for increasing portions of IPD in circulation and are associated with high case-fatality rates, antibiotic resistance and meningitis, while maintaining coverage of previously circulating strains that are currently contained through continued vaccination.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Adult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being developed for the prevention of IPD and pneumonia. VAX-31 is the broadest-spectrum PCV in the clinic, and has the potential to provide protection against both currently circulating and historically prevalent serotypes. VAX-31 was designed to increase coverage, in a single vaccine, to approximately 95% of IPD and approximately 88% of pneumococcal pneumonia circulating in adults in the United States aged 50 and older, with the potential to provide an incremental 13-36% broader coverage for IPD and an incremental 19-31% broader coverage for pneumococcal pneumonia over current standard-of-care adult PCVs.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2024, we announced positive topline results from a Phase 1/2 study of VAX-31 in adults. The VAX-31 Phase 1/2 clinical study was a randomized, observer-blind, active-controlled, dose-finding clinical study designed to evaluate the safety, tolerability and immunogenicity of a single injection of VAX-31 at three dose levels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4"/>
        <w:gridCol w:w="7961"/>
      </w:tblGrid>
      <w:tr>
        <w:trPr/>
        <w:tc>
          <w:tcPr>
            <w:tcW w:w="2244" w:type="dxa"/>
            <w:tcBorders/>
            <w:vAlign w:val="center"/>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 Middle and High) and compared to Prevnar 20® (“PCV20”) in 1,015 healthy adults aged 50 and older. VAX-31 was observed to be well tolerated and demonstrated a safety profile at all doses studied through the full six-month evaluation period similar to PCV20. VAX-31 showed robust OPA immune responses for all 31 serotypes at all doses studied.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these positive results, we selected the High Dose of VAX-31 to advance to an adult Phase 3 program.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2024, we announced that the U.S. Food and Drug Administration (“FDA”) granted breakthrough therapy designation (“BTD”) for VAX-31 for the prevention of IPD in adults and, in August 2025, we announced that the FDA expanded the BTD for VAX-31 to include the prevention of pneumonia caused by </w:t>
            </w:r>
            <w:r>
              <w:rPr>
                <w:rFonts w:ascii="Times New Roman" w:hAnsi="Times New Roman"/>
                <w:i/>
                <w:sz w:val="20"/>
              </w:rPr>
              <w:t>Streptococcus pneumoniae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2025, following an FDA End-of-Phase 2 meeting, we announced that the first participants were dosed in a Phase 3 pivotal, non-inferiority trial (“OPUS-1”) evaluating the safety, tolerability and immune responses of VAX-31 in healthy, pneumococcal-naïve (defined as having no known prior history of IPD or pneumococcal pneumonia, or receipt of any licensed or investigational pneumococcal vaccine) adults aged 50 and older through direct, head-to-head comparisons with both PCV20 and PCV21, the current standard-of-care PCVs. In March 2026, we announced that we completed enrollment of this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0"/>
        <w:gridCol w:w="7964"/>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the initiation of an additional Phase 3 trial evaluating VAX-31 when administered concomitantly with a licensed, high-dose seasonal influenza vaccine in pneumococcal-naïve adults aged 50 years and older (“OPUS-2”). In February 2026, we announced the initiation of a separate Phase 3 study evaluating VAX-31 in adults previously vaccinated with a lower-valency pneumococcal vaccine (“OPUS-3”). In March 2026, we announced we completed enrollment of the OPUS-2 trial and in May 2026, we announced we completed enrollment of the OPUS-3 trial. We expect to report safety, tolerability and immunogenicity data from the OPUS-2 and OPUS-3 studies in the first half of 2027. We are also planning for a manufacturing consistency study (e.g., a lot-to-lot study) to be the final Phase 3 study to enable the potential submission of a Biologics License Application (“BLA”).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w:t>
            </w:r>
          </w:p>
        </w:tc>
      </w:tr>
    </w:tbl>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Phase 3 study, VAX-31 was well tolerated and demonstrated a safety profile similar to PCV20 and Capvaxive® (“PCV21”) at all ages studied. VAX-31 met all prespecified co-primary immunogenicity endpoints in adults 50 and older. All 28 VAX-31 serotypes shared with PCV20 and/or PCV21 met the prespecified noninferiority criteria (lower bound of the 95% confidence interval (“LBCI”) &gt;0.667). For the 11 serotypes shared by VAX-31, PCV20 and PCV21, VAX-31 met all 11 primary noninferiority assessments based on opsonophagocytic activity (“OPA”) geometric mean ratios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20 serotypes shared with PCV20 and 17 of 19 shared with PCV21. Compared to PCV21, serotypes 3 and 12F missed the LBCI &gt;0.667 noninferiority criterion and met the historical LBCI &gt;0.5 threshold.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PCV Franchise Pediatric Indication: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4"/>
        <w:gridCol w:w="204"/>
        <w:gridCol w:w="8269"/>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is a 31-valent, broad-spectrum, carrier-sparing investigational PCV also being developed for the prevention of IPD in children. VAX-31 is the broadest-spectrum PCV in the clinic designed to cover approximately 91% of IPD in U.S. children under five years of age and approximately 96% of otitis media due to </w:t>
            </w:r>
            <w:r>
              <w:rPr>
                <w:rFonts w:ascii="Times New Roman" w:hAnsi="Times New Roman"/>
                <w:i/>
                <w:sz w:val="20"/>
              </w:rPr>
              <w:t>Streptococcus pneumoniae</w:t>
            </w:r>
            <w:r>
              <w:rPr>
                <w:rFonts w:ascii="Times New Roman" w:hAnsi="Times New Roman"/>
                <w:sz w:val="20"/>
              </w:rPr>
              <w:t xml:space="preserve"> in U.S. children five years of age or under.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2"/>
        <w:gridCol w:w="101"/>
        <w:gridCol w:w="7963"/>
      </w:tblGrid>
      <w:tr>
        <w:trPr/>
        <w:tc>
          <w:tcPr>
            <w:tcW w:w="193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December 2024, we announced that the first participants were dosed in the first stage of a Phase 2, randomized, dose-finding study of VAX-31 in infants. Stage 1 of the study evaluated the safety and tolerability of VAX-31 at three dose levels (Low, Middle and High) and compared to PCV20 in 48 infants in a dose-escalation approach. In the Low, Middle and High Doses, all serotypes were dosed at 1.1mcg, 2.2mcg and 3.3mcg, respectively, except serotypes 1, 5 and 22F, which were dosed at 1.65mcg, 3.3mcg, and 4.4mcg, respectively. Participants who received VAX-31 in Stage 1 continued the standard dosing regimen as part of Stage 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2025, we announced that the Phase 2, randomized, dose-finding study of VAX-31 in healthy infants had advanced to the second stage of the study. Stage 2 of the study is evaluating the safety, tolerability and immunogenicity of VAX-31 at the same three dose levels evaluated in Stage 1 and compared to PCV20. In line with recommendations from the ACIP, the study design includes a primary immunization series consisting of three doses given at two months, four months and six months of age, followed by a subsequent booster dose at 12-15 months of 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we announced advancement of the VAX-31 infant Phase 2 randomized, dose-finding study to the third and final stage following modifications to the protocol to add a new dose arm to evaluate a VAX-31 Optimized Dose (majority of serotypes dosed at 4.4mcg and the balance dosed at 3.3mcg) and discontinued further enrollment in the Low Dose arm. The Middle and High Dose arms continued as planned.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modified study is evaluating the safety, tolerability and immunogenicity of VAX-31 compared to PCV20 in 900 participants, including the 100 participants previously enrolled in the Low Dose arm.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2026, we announced that we completed enrollment of this study. We expect to announce topline safety, tolerability and immunogenicity data from the primary three-dose immunization series and booster dose either sequentially or together by the end of the first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Pending the VAX-31 Phase 2 infant study readout, we plan to initiate a Phase 3 program in infants with an Optimized Dose formulation of VAX-24 or VAX-31.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7"/>
        <w:gridCol w:w="303"/>
        <w:gridCol w:w="202"/>
        <w:gridCol w:w="8273"/>
      </w:tblGrid>
      <w:tr>
        <w:trPr/>
        <w:tc>
          <w:tcPr>
            <w:tcW w:w="142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VAX-24 is a 24-valent, broad-spectrum, carrier-sparing investigational PCV being developed for the prevention of IPD in infants, and it covers more serotypes than any pneumococcal infant vaccine on the market today.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March 2025, we announced positive topline, interim data from the VAX-24 infant Phase 2 study, a randomized, observer-blind, dose-finding two-stage clinical study evaluating the safety, tolerability and immunogenicity of VAX-24 in healthy infants that enrolled 803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1"/>
        <w:gridCol w:w="7963"/>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we announced final safety, tolerability, and immunogenicity results from the VAX-24 infant Phase 2 study that were consistent with the positive interim data reported in March 2025 and showed that VAX-24 elicited robust, dose-dependent immune responses, with little to no evidence of carrier suppression observed. The final data analysis included full 6-month safety results and complete post-dose 3 (primary immunization series) and post-dose 4 (booster dose) IgG and OPA results. The key immunogenicity endpoints included an assessment of immune responses for each of the VAX-24 dose levels (Low, Mid, Mixed) compared to PCV20 for the 20 common and 4 unique serotypes in VAX-24. At 1-month post-dose 3 and post-dose 4, immune responses were assessed based on serotype-specific IgG seroconversion rates (IgG threshold value of ≥0.35mcg/mL). IgG GMRs were also assessed at 1-month post-dose 3 and post-dose 4, along with other key immunogenicity endpoints, including OPA.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study, VAX-24 was well-tolerated and demonstrated a safety profile similar to PCV20 across all doses studied. Post-dose 3 and post-dose 4, all VAX-24 doses evaluated demonstrated robust IgG and OPA immunogenicity responses.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3"/>
        <w:gridCol w:w="102"/>
        <w:gridCol w:w="7962"/>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3, all VAX-24 doses met target precedent Phase 2 non-inferiority criteria on relative seroconversion rates (lower limit of the 95% confidence interval for the difference between the proportion of participants achieving the pre-defined seroconversion rate (IgG concentration ≥0.35 mcg/mL) is &gt; -15% for each serotype) for the highest circulating serotypes, as defined by the percentage of IPD caused in individuals &lt;5 years of age in the U.S. in 2023 based on the U.S. Center for Disease Control (“CDC”) active bacterial core (“ABC”) surveillance data, contained in VAX-24. The Low and Mid doses met the seroconversion rate criteria for 20 of 24 serotypes overall and the Mixed Dose met such criteria for 19 of 24 serotypes. The Mid and Mixed Doses met the target Phase 2 IgG GMR point estimate of &gt;0.6 for 21 of 24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Post-dose 4, all VAX-24 doses met our target Phase 2 IgG GMR point estimate of &gt;0.6 for the three highest circulating serotypes contained in VAX-24. The Mixed Dose met this target for 19 of 24 serotypes overall and the Mid dose met this target for 18 of 24 serotypes. Post-dose 4, VAX-24 elicited robust memory responses across all doses for all serotypes.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0"/>
        <w:gridCol w:w="7963"/>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the four incremental serotypes unique to VAX-24 that provide expanded serotype coverage relative to PCV20 elicited robust immune responses and met all target criteria across all endpoints at all doses evaluated.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39"/>
        <w:gridCol w:w="203"/>
        <w:gridCol w:w="102"/>
        <w:gridCol w:w="7961"/>
      </w:tblGrid>
      <w:tr>
        <w:trPr/>
        <w:tc>
          <w:tcPr>
            <w:tcW w:w="193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the final data from the VAX-24 infant Phase 2 dose-finding study further supported our rationale for exploring higher doses in the ongoing VAX-31 infant Phase 2 study.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VAX-XL is a third-generation PCV candidate designed to provide the broadest coverage of any PCV currently in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VAX-A1 is a novel conjugate vaccine candidate designed to prevent disease caused by Group A Streptococcus (</w:t>
            </w:r>
            <w:r>
              <w:rPr>
                <w:rFonts w:ascii="Times New Roman" w:hAnsi="Times New Roman"/>
                <w:i/>
                <w:sz w:val="20"/>
              </w:rPr>
              <w:t>Streptococcus pyogenes</w:t>
            </w:r>
            <w:r>
              <w:rPr>
                <w:rFonts w:ascii="Times New Roman" w:hAnsi="Times New Roman"/>
                <w:sz w:val="20"/>
              </w:rPr>
              <w:t xml:space="preserve">) (“Group A Strep”). Group A Strep is pervasive globally and causes an estimated 800 million cases of illness annually, including pharyngitis, or strep throat, and certain severe invasive infections and sequelae. There is currently no vaccine against Group A Strep, which is one of the leading infectious disease-related causes of death and disability worldwide and a significant contributor to the prescription of antibiotics in children. We believe we have demonstrated preclinical proof of concept for VAX-A1, the data for which were published in December 2020. In June 2026, we initiated a Phase 1 adult study for VAX-A1, with the primary objective of assessing safety and tolerability, along with a secondary objective of evaluating initial immunogenicity data, to support potential further advancement. We expect to report topline data from this study in the second half of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VAX-GI is a novel preclinical vaccine candidate being developed as a preventative treatment for dysentery and shigellosis, which is caused by Shigella bacteria. Shigella is a bacterial illness estimated to cause 80 million to 165 million cases of disease and 600,000 deaths annually, mostly among children. The central antigen in VAX-GI is IpaB, a well-appreciated antigen that other developers have been unable to produce in an amount sufficient to enable a commercial product. With our cell-free technology, we believe we can produce this antigen at substantially improved yields, allowing for commercial-scale production. VAX-GI is being developed in collaboration with the University of Maryland, Baltimore as well as with partial funding from two research grants awarded by the National Institutes of Health (“NIH”). As part of our continued focus on strategic capital deployment and in order to prioritize our resources towards our PCV franchise, we announced in August 2025 that we had paused the advancement, beyond preclinical development, of VAX-GI while remaining confident in its potential and preserving the option to advance the program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discovery-stage programs that leverage our cell-free protein synthesis platform, which, if proven successful in preclinical studies, could also be advanced into IND-enabling activities and clinical studies.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VAX-31 Phase 3 OPUS-1 Study in Adults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5, 2026, we announced positive topline results from the Phase 3 OPUS-1 trial. OPUS-1 is a randomized, double-blind, active-controlled Phase 3 trial evaluating the safety, tolerability and immunogenicity of the VAX-31 High Dose, the adult formulation being evaluated in the OPUS Phase 3 program, in healthy, pneumococcal-naïve U.S. adults aged 50 years and older (n=3,572), with a separate cohort of adults aged 18-49 years (n=475). In this study, VAX-31 was well tolerated and demonstrated a safety profile similar to PCV20 and PCV21 at all ages studied. VAX-31 met all prespecified co-primary immunogenicity endpoints in adults 50 and older. All 28 VAX-31 serotypes shared with PCV20 and/or PCV21 met the prespecified noninferiority criteria (LBCI&gt;0.667). For the 11 serotypes shared by VAX-31, PCV20 and PCV21, VAX-31 met all 11 primary noninferiority assessments based on OPA GMRs. For each serotype, the prespecified analysis required noninferiority against one or both comparators, using an OPA GMR noninferiority criterion of LBCI &gt;0.667 with prespecified Hochberg multiplicity adjustment. For the nine serotypes only in VAX-31 and PCV20, all nine met the prespecified OPA GMR noninferiority criterion (LBCI &gt;0.667). For the eight serotypes only in VAX-31 and PCV21, all eight met the prespecified OPA GMR noninferiority criterion (LBCI &gt;0.667). The three serotypes unique to VAX-31 and cross-reactive serotype 20B met the OPA GMR superiority criterion (LBCI &gt;2.0) with prespecified Hochberg multiplicity adjustment. For the prespecified primary immunobridging endpoint, VAX-31 met the noninferiority criterion (LBCI &gt;0.667) for all 32 serotype OPA GMR comparisons in adults aged 18-49 compared to adults aged 50-64. In the prespecified individual comparator analyses, VAX-31 met the noninferiority criterion (LBCI &gt;0.667) for 20 of 20 serotypes shared with PCV20 and 17 of 19 shared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PCV21. Compared to PCV21, serotypes 3 and 12F missed the LBCI &gt;0.667 noninferiority criterion and met the historical LBCI &gt;0.5 threshold.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Concurrent Convertible Note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this offering, we are offering, pursuant to a separate prospectus supplement,   % convertible senior notes due 2032, in an aggregate principal amount of $   , plus up to an additional $    aggregate principal amount of convertible notes that the underwriters of the concurrent convertible note offering have the option to purchase from us. 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See “The Concurrent Convertible Note Offering.”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Certain Unaudited Preliminary Financial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our financial results as of and for the three months ended September 30, 2026 are not yet finalized, based on currently available information, we expect cash, cash equivalents and investments as of September 30, 2026 to be reported as approximately $2.3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our independent accountants, nor any other independent accountants, have compiled, examined, or performed any procedures with respect to the preliminary financial information contained herein, nor have they expressed any opinion or any other form of assurance on such information, and assume no responsibility for, and disclaim any association with, the preliminary financial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November 2013 as SutroVax, Inc. and changed our name to Vaxcyte, Inc. in May 2020. Our principal executive offices are located at 825 Industrial Road, Suite 300, San Carlos, California 94070. Our telephone number is (650) 837-0111. Our website address is https://www.vaxcyte.com. Information contained on, or that can be accessed through, our website is not incorporated by reference into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8" w:type="dxa"/>
            <w:tcBorders/>
          </w:tcPr>
          <w:p>
            <w:pPr>
              <w:pStyle w:val="TableContents"/>
              <w:bidi w:val="0"/>
              <w:spacing w:before="0" w:after="283"/>
              <w:jc w:val="left"/>
              <w:rPr/>
            </w:pPr>
            <w:r>
              <w:rPr/>
              <w:t xml:space="preserve">We are also offering, in lieu of shares of our common stock to certain investors, pre-funded warrants to purchase     shares of our common stock. The purchase price of each pre-funded warrant will equal the price per share at which the shares of our common stock are being sold to the public in this offering, minus $0.001, and the exercise price of each pre-funded warrant will equal $0.001 per share. Each pre-funded warrant will be exercisable from the date of issuance until fully exercised, subject to an ownership limitation. See “Description of Pre-Funded Warrants.” This prospectus supplement also relates to the offering of the shares of our common stock issuable upon the exercise of such pre-funded warrants. No Non-U.S. Holders (as defined in the section of this prospectus supplement entitled “U.S. Federal Income Tax Considerations for Non-U.S. Holders of our Common Stock”) will be offered or sold pre-funded warrants to purchase shares of our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w:t>
            </w:r>
          </w:p>
        </w:tc>
        <w:tc>
          <w:tcPr>
            <w:tcW w:w="6328" w:type="dxa"/>
            <w:tcBorders/>
          </w:tcPr>
          <w:p>
            <w:pPr>
              <w:pStyle w:val="TableContents"/>
              <w:bidi w:val="0"/>
              <w:spacing w:before="0" w:after="283"/>
              <w:jc w:val="left"/>
              <w:rPr/>
            </w:pPr>
            <w:r>
              <w:rPr/>
              <w:t xml:space="preserve">We have granted the underwriters an option to purchase up to an additional     shares of our common stock. This option is exercisable, in whole or in part, for a period of 30 days following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7" w:type="dxa"/>
            <w:tcBorders/>
          </w:tcPr>
          <w:p>
            <w:pPr>
              <w:pStyle w:val="TableContents"/>
              <w:bidi w:val="0"/>
              <w:spacing w:before="0" w:after="283"/>
              <w:jc w:val="left"/>
              <w:rPr/>
            </w:pPr>
            <w:r>
              <w:rPr/>
              <w:t>    </w:t>
            </w:r>
            <w:r>
              <w:rPr/>
              <w:t xml:space="preserve">shares (or      shares if the underwriters exercise their option to purchase an additional      shares in full), in each case, assuming no exercise of any pre-funded warrants offered and sold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use the net proceeds we receive from this offering and, if it is consummated, the concurrent convertible note offering, together with our existing cash, cash equivalents and investments, to fund (i) 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(ii) 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inventory levels in advance of such potential commercial launch; (iii) medical affairs, commercial and systems-related investments to prepare for and execute the anticipated U.S. launch of VAX-31 in adults; (iv) ongoing research and development of our other early-stage pipeline vaccine candidates; and (v) general corporate purposes, including working capital, operating expenses and capital expenditures, as well as potential expansion of our research pipeline. 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Concurrent Convertible Note Offering </w:t>
            </w:r>
          </w:p>
        </w:tc>
        <w:tc>
          <w:tcPr>
            <w:tcW w:w="6328" w:type="dxa"/>
            <w:tcBorders/>
          </w:tcPr>
          <w:p>
            <w:pPr>
              <w:pStyle w:val="TableContents"/>
              <w:bidi w:val="0"/>
              <w:spacing w:before="0" w:after="283"/>
              <w:jc w:val="left"/>
              <w:rPr/>
            </w:pPr>
            <w:r>
              <w:rPr/>
              <w:t xml:space="preserve">Concurrently with this offering, we are offering, pursuant to a separate prospectus supplement,   % convertible senior notes due 2032, which we refer to as the “convertible notes”, in an aggregate principal amount of $     , plus up to an additional $      aggregate principal amount of convertible notes that the underwriters of the concurrent convertible note offering have the option to purchase from us. We estimate that the net proceeds to us from the concurrent convertible note offering, if it is consummated, will be approximately $     million (or approximately $     million if the underwriters of the concurrent convertible note offering exercise in full their option to purchase additional convertible notes), after deducting the underwriting discounts and commissions and our estimated offering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See “The Concurrent Convertible Note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 titled “Risk Factors” and other information included and incorporated by reference in this prospectus supplement and the accompanying prospectus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8" w:type="dxa"/>
            <w:tcBorders/>
          </w:tcPr>
          <w:p>
            <w:pPr>
              <w:pStyle w:val="TableContents"/>
              <w:bidi w:val="0"/>
              <w:spacing w:before="0" w:after="283"/>
              <w:jc w:val="left"/>
              <w:rPr/>
            </w:pPr>
            <w:r>
              <w:rPr/>
              <w:t>“</w:t>
            </w:r>
            <w:r>
              <w:rPr/>
              <w:t xml:space="preserve">PCVX.” We do not intend to list the pre-funded warrants on the Nasdaq Global Select Market or any other national securities exchange or nationally recognized trading system.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after this offering is based on 144,785,934 shares of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12,111,431 shares of common stock issuable upon the exercise of options to purchase shares of common stock outstanding as of June 30, 2026, with a weighted-average exercise price of $48.86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3,019,377 shares of common stock issuable upon settlement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275,396 shares of common stock issuable pursuant to purchase rights outstanding under our 2020 Employee Stock Purchase Plan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13,407,465 shares of common stock reserved for future issuance under our 2020 Equity Incentive Plan (“EIP”) as of June 30, 2026, as well as any annual evergreen increases in the number of shares reserved for future issuance under this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3,217,631 shares of common stock reserved for future issuance under our ESPP as of June 30, 2026, as well as any annual evergreen increases in the number of shares reserved for future issuance under this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5,463,793 shares of common stock issuable upon the exercise of pre-funded warrants outstanding as of June 30, 2026 at an exercise price of $0.001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the convertible notes issued in the concurrent convertible note offering.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Subsequent to June 30, 2026 and through the date of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stock options to purchase 525,616 shares of common stock with a weighted-average exercise price of $60.10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restricted stock units to acquire 658,843 shares of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3,946,020 shares of common stock upon the exercise of 3,946,094 pre-funded warrants, net of exercise costs.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number of shares of our common stock outstanding immediately after this offering excludes additional shares of common stock that we may sell pursuant to a Sales Agreement with Leerink Partners LLC, dated February 24, 2026 (the “Sales Agreement”). As of the date of this prospectus supplement, we may sell up to $500.0 million of common stock pursuant to the Sales Agreement, provided no such sales shall be made for 30 days from the date of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the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pre-funded warrants we are offering in lieu of shares of common stock to certain investors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as applicable, of the outstanding options, restricted stock units or pre-funded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an additional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oc176371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or pre-funded warrants involves a high degree of risk. Our business, prospects, financial condition or operating results could be materially adversely affected by the risks identified below, as well as other risks not currently known to us or that we currently consider immaterial. The trading price of our common stock or the value of our pre-funded warrants could decline due to any of these risks, and you may lose all or part of your investment. Before deciding whether to invest in our common stock or pre-funded warrants, you should consider carefully the risk factors discussed below and those contained in the section titled “Risk Factors” contained in our Quarterly Report on Form 10-Q for the quarter ended June 30, 2026, as filed with the Securities and Exchange Commission (the “SEC”), which is incorporated herein by reference in its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net proceeds from this offering and, if it is consummated, the concurrent convertible note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we receive from this offering and, if it is consummated, the concurrent convertible note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if it is consummated, the concurrent convertible note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in the book value per share of the common stock or the value of our pre-funded warrants you purchase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or the value of our pre-funded warrants being offered in this offering is substantially higher than the net tangible book value per share of our common stock, you will suffer substantial dilution with respect to the net tangible book value of the common stock or the common stock issuable upon the exercise of pre-funded warrants you purchase in this offering. Based on the public offering price of $     per share and our net tangible book value as of June 30, 2026, if you purchase shares of common stock or pre-funded warrants in this offering, you will suffer immediate and substantial dilution of $    per share with respect to the as adjusted net tangible book value of the common stock or the common stock issuable upon the exercise of pre-funded warrants you purchased. The exercise of outstanding stock options, the settlement of restricted stock units, the exercise of outstanding pre-funded warrants or the issuance of shares upon conversion of the convertible notes may result in further dilution of your investment. See the section titled “Dilution” for a more detailed discussion of the dilution you will incur if you purchase common stock or pre-funded warrants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including through our “at-the-market” equity offering program. In February 2026, we entered into the Sales Agreement, pursuant to which we may sell and issue shares of our common stock having an aggregate offering price of up to $500.0 million from time to time in transactions that are deemed to be an “at-the-market offering” as defined in Rule 415(a)(4) under the Securities Act of 1933, as amended, or the Securities Act. Through the date of this prospectus supplement, we have not sold any shares of common stock under the Sales Agreement. We may sell shares or other securities in any other offering at a price per share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 See the section titled “Description of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receive any meaningful amount of additional funds upon the exercise of the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pre-funded warrant will be exercisable until it is fully exercised and by means of payment of the nominal cash purchase price upon exercise or by means of a “cashless exercise” according to a formula set forth in the pre-funded warrant. Accordingly, we will not receive any meaningful additional funds upon the exercise of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such holders exercise their pre-funded warrants and acquire shares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the pre-funded warrants exercise their pre-funded warrants and acquire shares of our common stock, such holders will have no rights with respect to the shares of our common stock underlying such pre-funded warrants. Upon exercise of the pre-funded warrants, the holders will be entitled to exercise the rights of a common stockholder only as to matters for which the record date occurs after the exercise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shares of our common stock may not be permitted to exercise the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 See the section titled “Description of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of our common stock may limit our ability to use some or all of our net operating loss carryforwards or tax credit carryforwards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net operating loss (“NOL”) carryforwards of approximately $796.1 million and $1,907.7 million available to reduce future taxable income, if any, for U.S. federal and state income tax purposes, respectively. The U.S. federal and state NOL carryforwards, except the U.S. federal loss carryforward arising in tax years beginning after December 31, 2017, begin to expire in 2034 unless previously utilized. Federal NOLs arising in tax years beginning after December 31, 2017 have an indefinite carryover period and do not expire. We also had research credit carryforwards of $40.3 million and $12.3 million available to offset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income tax liabilities, if any, for U.S. federal and state income tax purposes, respectively. The U.S. federal research and development tax credit carryforwards expire beginning in 2039 unless previously utilized. The state tax credits can be carried forward indefinitely. Under Sections 382 and 383 of the Internal Revenue Code of 1986, as amended (the “Code”), a corporation that undergoes an “ownership change” may be subject to limitations on its ability to utilize its pre-change net operating loss carryforwards and tax credit carryforwards to offset future taxable income or tax, as applicable. In general, an ownership change occurs if the aggregate stock ownership of certain stockholders (generally 5% stockholders, applying certain look-through and aggregation rules) increases by more than 50% over such stockholders’ lowest percentage ownership during the testing period (generally three years). It is possible that the acquisitions of our common stock in this offering, as well as other acquisitions of our common stock will cause an ownership change or increase the likelihood that we may undergo another ownership change for purposes of Sections 382 and 383 of the Code in the future. Limitations imposed on our ability to utilize net operating loss carryforwards or tax credit carryforwards could cause U.S. federal income taxes to be paid earlier than such taxes would be paid if such limitations were not in effect and could cause certain of such net operating loss carryforwards or tax credits to expire unused, in each case reducing or eliminating the benefit of such net operating loss carryforwards or tax credits,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Concurrent Convertible Note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issuance of shares of our common stock upon conversion of the convertible notes will dilute the ownership interests of our stockholders and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conversion of the convertible notes being offered in the concurrent convertible note offering, we will satisfy part or all of our conversion obligation in shares of our common stock, unless we elect to settle conversions solely in cash. The issuance of shares of our common stock upon conversion of the convertible notes will dilute the ownership interests of our stockholders, which could depress the trading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activity by investors in the convertible notes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many investors in the convertible notes being offered in the concurrent convertible note offering, including potential purchasers of the convertible notes following the concurrent convertible note offering, will seek to employ a convertible note arbitrage strategy. Under this strategy, investors typically short sell a certain number of shares of our common stock and adjust their short position over time while they continue to hold the convertible notes. Investors may also implement this type of strategy by entering into swaps on our common stock in lieu of, or in addition to, short selling shares of our common stock. This market activity, or the market’s perception that it will occur, could depress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the indenture governing the convertible notes could delay or prevent an otherwise beneficial takeover of us.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convertible notes and the indenture governing the convertible notes could make a third party attempt to acquire us more difficult or expensive. For example, if a takeover constitutes a “fundamental change” (which will be defined in the indenture to include certain change-of-control events and the delisting of our common stock), then noteholders will have the right to require us to repurchase their convertible notes for cash. In addition, if a takeover constitutes a “make-whole fundamental change” (which will be defined in the indenture to include, among other events, fundamental changes and certain additional business combination transactions), then we may be required to temporarily increase the conversion rate for the convertible notes. In either case, and in other cases, our obligations under the convertible notes and the indenture could increase the cost of acquiring us or otherwise discourage a third party from acquiring us, including in a transaction that holders of the convertible notes or our common stock may view as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unable to raise the funds necessary to repurchase the convertible notes for cash following a fundamental change, or to pay any cash amounts due upon conversion, and our other indebtedness may limit our ability to repurchase the convertible notes or pay cash upon their conversion. </w:t>
      </w:r>
    </w:p>
    <w:p>
      <w:pPr>
        <w:pStyle w:val="TextBody"/>
        <w:bidi w:val="0"/>
        <w:spacing w:before="120" w:after="0"/>
        <w:jc w:val="left"/>
        <w:rPr>
          <w:rFonts w:ascii="Times New Roman" w:hAnsi="Times New Roman"/>
          <w:sz w:val="20"/>
        </w:rPr>
      </w:pPr>
      <w:r>
        <w:rPr>
          <w:rFonts w:ascii="Times New Roman" w:hAnsi="Times New Roman"/>
          <w:sz w:val="20"/>
        </w:rPr>
        <w:t xml:space="preserve">Noteholders may, subject to a limited exception, require us to repurchase their convertible notes following a “fundamental change” (which will be defined in the indenture governing the convertible notes to include certain change-of-control events and the delisting of our common stock) at a cash repurchase price generally equal to the principal amount of the convertible notes to be repurchased, plus accrued and unpaid interest, if any. Upon maturity of the convertible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notes or pay any cash amounts due upon their maturity or conversion. In addition, applicable law, regulatory authorities and the agreements governing our other indebtedness may restrict our ability to repurchase the convertible notes or pay any cash amounts due upon conversion. Our failure to repurchase convertible notes or to pay any cash amounts due upon their maturity or conversion when required will constitute a default under the indenture governing the convertible notes.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convertible notes will not restrict us from incurring additional indebtedness, and the incurrence of the convertible notes and any additional indebtedness could limit the cash flow available for our operations, expose us to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no consolidated indebtedness for borrowed money. We will incur $    million (or, if the underwriters of the concurrent convertible note offering fully exercise their option to purchase additional convertible notes, $     million) principal amount of additional indebtedness as a result of the concurrent convertible note offering. The indenture for the convertible notes will not contain any meaningful restrictive covenants and will not prohibit us or our subsidiaries from incurring additional indebtedness in the future. Accordingly, we may incur a significant amount of additional indebtedness following the concurrent convertible note offering, if it is completed. The incurrence of indebtedness could have significant negative consequences for our stockholders and our business, results of operations and financial condition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indebtedness, which will reduce the amount of cash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to plan for, or react to, changes in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interests of our existing stockholders as a result of issuing shares of our common stock upon conversion of the convertible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possible competitive disadvantage with competitors that are less leveraged than us or have better access to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business may not generate sufficient funds, and we may otherwise be unable to maintain sufficient cash reserves, to pay amounts due under our indebtedness,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covenants or to make payments under our indebtedness when due, then we would be in default under that indebtedness, which could, in turn, result in that and our other indebtedness becoming immediately payable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accounting method for the convertible notes could adversely affect our reported financial condition and results.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method for reflecting the convertible notes on our balance sheet, accruing interest expense for the convertible notes and reflecting the underlying shares of our common stock in our reported diluted earnings per share may adversely affect our reported earnings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applicable accounting standards, we expect that the convertible notes we are offering pursuant to the concurrent convertible note offering will be reflected as a liability on our balance sheets, with the initial carrying amount equal to the principal amount of the convertible notes, net of issuance costs. The issuance costs will be treated as a debt discount for accounting purposes, which will be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income.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expect that the shares underlying the convertible notes will be reflected in our diluted earnings per share using the “if converted” method. Under that method, diluted earnings per share would generally be calculated assuming that all the convertible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convertible noteholders convert their convertible notes and could materially reduce our reported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We have not reached a final determination regarding the accounting treatment for the convertible notes, and the description above is preliminary. Accordingly, we may account for the convertible notes in a manner that is significantly different than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176371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by reference herein and therein, and any free writing prospectus that we have authorized for use in connection with this offering, contain forward-looking statements about us and our industry that involve substantial risks and uncertainties. All statements other than statements of historical facts contained in this prospectus supplement and the accompanying prospectus, including the documents incorporated by reference herein and therein,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in this prospectus supplement and the accompanying prospectus, including the documents incorporated by reference herein and therein,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concurrent convertible note offering and the expected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uses of the net proceeds from this offering, and if consummated, the concurrent convertible note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benefits, spectrum of coverage and immunogenicity of our vaccine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preclinical study results and prior clinical study results potentially being predictive of future clinical study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the initiation, progress and potential results of our preclinical studies, clinical trials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vaccine candidates into, and successfully complete,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and our third-party manufacturers’ manufacturing capabilities and the scalable nature of our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extensive or changes in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coverage and reimbursement of our vaccine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and the ability of our third-party contract manufacturers to operate and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in this or future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volatility of the trading price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supplement and the accompanying prospectus, including the documents incorporated by reference herein and therein,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supplement and the accompanying prospectus, including the documents incorporated by reference herein and therein. Moreover,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and the accompanying prospectus, including the documents incorporated by reference herein and therein.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supplement and the accompanying prospectus, including the documents incorporated by reference herein and therein.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supplement and the accompanying prospectus, including the documents incorporated by reference herein and therein, relate only to events as of the date on which the statements are made. We undertake no obligation to update any forward-looking statements made in this prospectus supplement and the accompanying prospectus, including the documents incorporated by reference herein and therein,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7637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we will receive net proceeds from this offering of approximately $     million (or approximately $     million if the underwriters exercise their option to purchase an additional      shares in full), based on the public offering price of $     per share of common stock and $     per pre-funded warrant, after deducting underwriting discounts and commissions and estimated offering expenses payable by us. We will receive only nominal additional proceeds from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concurrent convertible note offering described below, if it is consummated, will be approximately $     million (or approximately $     million if the underwriters of the concurrent convertible note offering fully exercise their option to purchase additional convertible notes),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and the concurrent convertible note offering are to increase our capitalization and financial flexibility. We currently intend to use the net proceeds we receive from this offering and, if it is consummated, the concurrent convertible note offering, together with our existing cash, cash equivalents and investments, to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development of the VAX-31 adult and pediatric programs, including (a) for the ongoing VAX-31 adult Phase 3 program, the trial evaluating concomitant administration with a seasonal influenza vaccine (OPUS-2, enrolled), the trial in adults who have previously received a pneumococcal vaccine (OPUS-3, enrolled) and the planned manufacturing consistency study, and the anticipated topline safety, tolerability and immunogenicity data announcements from such studies, and (b) for the VAX-31 infant Phase 2 dose-finding study (enrolled), the anticipated topline data announcement(s) from the primary three-dose immunization series and booster dose;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scale-up, processes and supply to support our clinical studies and the potential commercial launches of our PCV programs, including (a) to establish additional manufacturing capacity to meet potential incremental supply requirements for the global adult and pediatric populations following the potential initial commercial launch of VAX-31 in adults in the United States and (b) to build inventory levels in advance of such potential commercial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affairs, commercial and systems-related investments to prepare for and execute the anticipated U.S. launch of VAX-31 in adults;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research and development of our other early-stage pipeline vaccine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corporate purposes, including working capital, operating expenses and capital expenditures, as well as potential expansion of our research pipeline.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and, if it is consummated, the concurrent convertible note offering, represents our intentions based on our current plans and business conditions, which could change in the future as our plans and business conditions evolve. Further, due to the uncertainties inherent in the vaccine development process, it is difficult to estimate with certainty the exact amounts of the net proceeds from this offering and, if it is consummated, the concurrent convertible note offering, that may be used for the above purposes. We cannot specify with certainty all of the particular uses for the remaining net proceeds to us from this offering and, if it is consummated, the concurrent convertible note offering. We may also use a portion of the net proceeds for acquisitions or strategic investments in complementary businesses, products, services or technologies or in connection with partnering and manufacturing arrangements. However, we do not have agreements or commitments to enter into any such acquisitions or investments at this time. We will have broad discretion over how to use the net proceeds from this offering and, if it is consummated, the concurrent convertible note offering, and our investors will be relying on the judgment of our management regarding the application of the net proceeds of this offering and, if it is consummated, the concurrent convertible note offering. The amounts and timing of our expenditures will depend upon numerous factors including the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research and development efforts, the timing and success of preclinical studies and any clinical trials we may commence in the future, the timing of regulatory submissions and the amount of cash obtained through any future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invest the net proceeds to us from this offering and, if it is consummated, the concurrent convertible note offering, that are not used as described above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76371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76371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cash equivalents and investments, and our capitalization as of June 30, 2026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giving effect to the issuance and sale of      shares of common stock and pre-funded warrants to purchase      shares of common stock in this offering at the public offering price of $     per share of common stock and $     per pre-funded warrant (assuming no exercise of the pre-funded warrants), and excluding shares of common stock issued and any proceeds received upon any exercise of the pre-funded warrants and any resulting accounting associated with the pre-funded warrants, after deducting underwriting discounts and commissions and estimated offering expenses payable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to give further effect to the issuance and sale of $     aggregate principal amount of convertible notes in the concurrent convertible note offering, after deducting the underwriting discounts and commissions and our estimated offering expenses, assuming the concurrent convertible note offering is consummated.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is illustrative only, and our capitalization following the completion of this offering and the concurrent convertible note offering, if it is completed, will depend on the final terms of the offerings. Moreover, because the completion of this offering is not contingent on the completion of the concurrent convertible note offering, you should not assume that the concurrent convertible note offering, as reflected in the pro forma as adjusted column in the table below, will take place. </w:t>
      </w:r>
    </w:p>
    <w:p>
      <w:pPr>
        <w:pStyle w:val="TextBody"/>
        <w:bidi w:val="0"/>
        <w:spacing w:before="240" w:after="0"/>
        <w:jc w:val="left"/>
        <w:rPr>
          <w:rFonts w:ascii="Times New Roman" w:hAnsi="Times New Roman"/>
          <w:sz w:val="20"/>
        </w:rPr>
      </w:pPr>
      <w:r>
        <w:rPr>
          <w:rFonts w:ascii="Times New Roman" w:hAnsi="Times New Roman"/>
          <w:sz w:val="20"/>
        </w:rPr>
        <w:t xml:space="preserve">This table should be read in conjunction with the other information included or incorporated by reference in this prospectus supplement, including our consolidated financial statements and related notes.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65"/>
        <w:gridCol w:w="289"/>
        <w:gridCol w:w="147"/>
        <w:gridCol w:w="1119"/>
        <w:gridCol w:w="214"/>
        <w:gridCol w:w="345"/>
        <w:gridCol w:w="147"/>
        <w:gridCol w:w="1119"/>
        <w:gridCol w:w="214"/>
        <w:gridCol w:w="345"/>
        <w:gridCol w:w="147"/>
        <w:gridCol w:w="1121"/>
        <w:gridCol w:w="216"/>
      </w:tblGrid>
      <w:tr>
        <w:trPr/>
        <w:tc>
          <w:tcPr>
            <w:tcW w:w="396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918" w:type="dxa"/>
            <w:gridSpan w:val="10"/>
            <w:tcBorders>
              <w:bottom w:val="single" w:sz="8" w:space="0" w:color="000000"/>
            </w:tcBorders>
            <w:tcMar>
              <w:bottom w:w="28" w:type="dxa"/>
            </w:tcMar>
            <w:vAlign w:val="bottom"/>
          </w:tcPr>
          <w:p>
            <w:pPr>
              <w:pStyle w:val="TableContents"/>
              <w:bidi w:val="0"/>
              <w:spacing w:before="0" w:after="283"/>
              <w:jc w:val="center"/>
              <w:rPr/>
            </w:pPr>
            <w:r>
              <w:rPr/>
              <w:t>As of</w:t>
              <w:br/>
              <w:t>June 30, 2026</w:t>
            </w:r>
          </w:p>
        </w:tc>
        <w:tc>
          <w:tcPr>
            <w:tcW w:w="216"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Actual</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As adjusted</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pPr>
            <w:r>
              <w:rPr/>
              <w:t>Pro forma</w:t>
              <w:br/>
              <w:t>as adjusted</w:t>
            </w:r>
          </w:p>
        </w:tc>
        <w:tc>
          <w:tcPr>
            <w:tcW w:w="216"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918" w:type="dxa"/>
            <w:gridSpan w:val="10"/>
            <w:tcBorders/>
            <w:vAlign w:val="bottom"/>
          </w:tcPr>
          <w:p>
            <w:pPr>
              <w:pStyle w:val="TableContents"/>
              <w:bidi w:val="0"/>
              <w:spacing w:before="0" w:after="283"/>
              <w:jc w:val="center"/>
              <w:rPr/>
            </w:pPr>
            <w:r>
              <w:rPr/>
              <w:t>(In thousands, except share and per share data)</w:t>
            </w:r>
          </w:p>
        </w:tc>
        <w:tc>
          <w:tcPr>
            <w:tcW w:w="216" w:type="dxa"/>
            <w:tcBorders/>
            <w:vAlign w:val="bottom"/>
          </w:tcPr>
          <w:p>
            <w:pPr>
              <w:pStyle w:val="TableContents"/>
              <w:bidi w:val="0"/>
              <w:spacing w:before="0" w:after="283"/>
              <w:jc w:val="left"/>
              <w:rPr/>
            </w:pPr>
            <w:r>
              <w:rPr/>
              <w:t> </w:t>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2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2,507,734</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amount of   % convertible senior notes due 2032 we are offering pursuant to the concurrent convertible note offering</w:t>
            </w:r>
          </w:p>
        </w:tc>
        <w:tc>
          <w:tcPr>
            <w:tcW w:w="2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121"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$0.001 par value per share; 10,000,000 shares authorized, no shares outstanding, actual, as adjusted and pro forma as adjusted</w:t>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per share; 500,000,000 shares authorized; 144,785,934 shares outstanding, actual;      shares outstanding, as adjusted and pro forma as adjusted</w:t>
            </w:r>
          </w:p>
        </w:tc>
        <w:tc>
          <w:tcPr>
            <w:tcW w:w="2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148</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5,525,211</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121"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(2,759,871</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(2,759,871</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(2,759,871</w:t>
            </w:r>
          </w:p>
        </w:tc>
        <w:tc>
          <w:tcPr>
            <w:tcW w:w="216" w:type="dxa"/>
            <w:tcBorders/>
            <w:shd w:fill="CCEEFF" w:val="clear"/>
            <w:vAlign w:val="bottom"/>
          </w:tcPr>
          <w:p>
            <w:pPr>
              <w:pStyle w:val="TableContents"/>
              <w:bidi w:val="0"/>
              <w:spacing w:before="0" w:after="283"/>
              <w:jc w:val="left"/>
              <w:rPr/>
            </w:pPr>
            <w:r>
              <w:rPr/>
              <w:t>) </w:t>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(7,546</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(7,546</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(7,546</w:t>
            </w:r>
          </w:p>
        </w:tc>
        <w:tc>
          <w:tcPr>
            <w:tcW w:w="216"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r>
      <w:tr>
        <w:trPr/>
        <w:tc>
          <w:tcPr>
            <w:tcW w:w="3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8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2,757,942</w:t>
            </w:r>
          </w:p>
        </w:tc>
        <w:tc>
          <w:tcPr>
            <w:tcW w:w="214"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121"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r>
      <w:tr>
        <w:trPr/>
        <w:tc>
          <w:tcPr>
            <w:tcW w:w="3965"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2,757,942</w:t>
            </w:r>
          </w:p>
        </w:tc>
        <w:tc>
          <w:tcPr>
            <w:tcW w:w="214"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121"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214"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21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table above for the convertible notes we are offering pursuant to the concurrent convertible note offering represent their principal amount. However, we expect that the initial liability carrying amount of the convertible notes for accounting purposes will be recorded net of issuance costs, which will be treated as a debt discount for accounting purposes and amortized into interest expense over the term of the convertible notes. As a result of this amortization, the interest expense that we expect to recognize for the convertible notes for accounting purposes will be greater than the cash interest payments we will pay on the convertible notes, which will result in lower reported net income or larger reported net loss.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outstanding share information in the table above is based on 144,785,934 shares of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exercise of the pre-funded warrants we are offering in lieu of shares of common stock to certain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12,111,431 shares of common stock issuable upon the exercise of options to purchase shares of common stock outstanding as of June 30, 2026, with a weighted-average exercise price of $48.86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3,019,377 shares of common stock issuable upon settlement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275,396 shares of common stock issuable pursuant to purchase rights outstanding under our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13,407,465 shares of common stock reserved for future issuance under our EIP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3,217,631 shares of common stock reserved for future issuance under our ESPP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5,463,793 shares of common stock issuable upon the exercise of pre-funded warrants outstanding as of June 30, 2026 at an exercise price of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the convertible notes issued in the concurrent convertible note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June 30, 2026 and through the date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stock options to purchase 525,616 shares of common stock with a weighted-average exercise price of $60.10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restricted stock units to acquire 658,843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3,946,020 shares of common stock upon the exercise of 3,946,094 pre-funded warrants, net of exercise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number of shares of our common stock outstanding immediately after this offering excludes additional shares of common stock that we may sell pursuant to the Sales Agreement. As of the date of this prospectus supplement, we may sell up to $500.0 million of common stock pursuant to the Sales Agreement, provided no such sales shall be made for 30 days from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76371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or per pre-funded warrant and the as adjusted net tangible book value per share of our common stock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$2,648 million, or $18.29 per share of our common stock. Our net tangible book value represents the amount of our total tangible assets less our total liabilities. Net tangible book value per share represents net tangible book value divided by the number of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shares of common stock and pre-funded warrants to purchase     shares of common stock that we are offering at the public offering price of $   per share of common stock and $   per pre-funded warrant (which equals the price per share at which the shares of common stock are being sold to the public in this offering, minus the $0.001 per share exercise price of each such pre-funded warrant) (and excluding shares of common stock issued upon exercise of the pre-funded warrants or any resulting accounting associated therewith), after deducting underwriting discounts and commissions and estimated offering expenses payable by us, our as adjusted net tangible book value as of June 30, 2026 would have been $   million, or $   per share. This amount represents an immediate increase in as adjusted net tangible book value of $   per share to our existing stockholders and an immediate dilution in net tangible book value of $   per share to new investors purchasing shares of common stock or pre-funded warrants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as adjusted net tangible book value per share after this offering from the price per share paid by new investors. The following table illustrates this dilution (without giving effect to any exercise by the underwriters of their option to purchase additional shares of our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20"/>
        <w:gridCol w:w="375"/>
        <w:gridCol w:w="140"/>
        <w:gridCol w:w="561"/>
        <w:gridCol w:w="60"/>
        <w:gridCol w:w="375"/>
        <w:gridCol w:w="140"/>
        <w:gridCol w:w="820"/>
        <w:gridCol w:w="64"/>
      </w:tblGrid>
      <w:tr>
        <w:trPr/>
        <w:tc>
          <w:tcPr>
            <w:tcW w:w="522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220"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18.29</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22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20"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22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22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in full their option to purchase up to an additional      shares of our common stock, the as adjusted net tangible book value after the offering would be $   per share, the increase in net tangible book value per share to existing stockholders would be $   per share and the dilution per share to new investors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144,785,934 shares of our common stock outstanding as of June 30, 2026,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exercise of the pre-funded warrants we are offering in lieu of shares of common stock to certain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12,111,431 shares of common stock issuable upon the exercise of options to purchase shares of common stock outstanding as of June 30, 2026, with a weighted-average exercise price of $48.86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3,019,377 shares of common stock issuable upon settlement of restricted stock units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275,396 shares of common stock issuable pursuant to purchase rights outstanding under our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13,407,465 shares of common stock reserved for future issuance under our EIP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3,217,631 shares of common stock reserved for future issuance under our ESPP as of June 30, 2026, as well as any annual evergreen increases in the number of shares reserved for future issuance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5,463,793 shares of common stock issuable upon the exercise of pre-funded warrants outstanding as of June 30, 2026 at an exercise price of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issuable upon conversion of the convertible notes issued in the concurrent convertible note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Subsequent to June 30, 2026 and through the date of 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stock options to purchase 525,616 shares of common stock with a weighted-average exercise price of $60.10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granted restricted stock units to acquire 658,843 shares of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issued 3,946,020 shares of common stock upon the exercise of 3,946,094 pre-funded warrants, net of exercise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any outstanding options or pre-funded warrants are exercised or any outstanding restricted stock units vest, new options, restricted stock units or other equity awards are issued under our equity incentive plans, or we issue additional equity or convertible debt securities in the future, including under the Sales Agreement,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76371_9"/>
      <w:bookmarkEnd w:id="11"/>
      <w:r>
        <w:rPr>
          <w:rFonts w:ascii="Times New Roman" w:hAnsi="Times New Roman"/>
          <w:b/>
          <w:sz w:val="20"/>
        </w:rPr>
        <w:t xml:space="preserve">THE CONCURRENT CONVERTIBLE NOTE OFFERING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this offering, we are offering, pursuant to a separate prospectus supplement,   % convertible senior notes due 2032, which we refer to as the “convertible notes”, in an aggregate principal amount of $     . We have granted the underwriters of the concurrent convertible note offering a 30-day option to purchase up to an additional $     principal amount of convertible notes solely to cover over-allotments. We estimate that the net proceeds to us from the concurrent convertible note offering, if it is consummated, will be approximately $     million (or approximately $     million if the underwriters of the concurrent convertible note offering fully exercise their option to purchase additional convertible notes), after deducting the underwriting discounts and commissions and our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completion of this offering is not contingent on the completion of the concurrent convertible note offering, and the completion of the concurrent convertible note offering is not contingent on the completion of this offering. Accordingly, you should not assume that the concurrent convertible note offering will be consummated on the terms described in this prospectus supplement, if at all, or that we will receive any additional proceeds from the concurrent convertible note offering. This prospectus supplement and the accompanying prospectus do not constitute an offer to sell, or the solicitation of an offer to buy, any of the convertible notes, or the shares of common stock, if any, issuable upon conversion of the convertible notes, we are offering in the concurrent convertible note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be our senior, unsecured obligations and will accrue interest at a rate of   % per annum, payable semi-annually in arrears on April 15 and October 15 of each year, beginning on April 15, 2027. The convertible notes will mature on October 15, 2032, unless earlier repurchased, redeemed or converted. </w:t>
      </w:r>
    </w:p>
    <w:p>
      <w:pPr>
        <w:pStyle w:val="TextBody"/>
        <w:bidi w:val="0"/>
        <w:spacing w:before="240" w:after="0"/>
        <w:jc w:val="left"/>
        <w:rPr>
          <w:rFonts w:ascii="Times New Roman" w:hAnsi="Times New Roman"/>
          <w:sz w:val="20"/>
        </w:rPr>
      </w:pPr>
      <w:r>
        <w:rPr>
          <w:rFonts w:ascii="Times New Roman" w:hAnsi="Times New Roman"/>
          <w:sz w:val="20"/>
        </w:rPr>
        <w:t xml:space="preserve">Before July 15, 2032, noteholders will have the right to convert their convertible notes only upon the occurrence of certain events. From and after July 15, 2032, noteholders may convert their convertible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shares of common stock per $1,000 principal amount of convertible notes, which represents an initial conversion price of approximately $     per share of common stock. The conversion rate and conversion price will be subject to adjustment upon the occurrence of certain events. If a “make-whole fundamental change” (which will be defined in the indenture governing the convertible notes to include certain business combination transactions involving us, and the delisting of our common stock and the calling of the convertible notes for redemption pursuant to a provisional redemption or cleanup redemption (as defined below)) occurs, then we will in certain circumstances increase the conversion rate for a specified period of time. In the case of a make-whole fundamental change resulting from the calling of any convertible notes for redemption pursuant to a provisional redemption, the increased conversion rate, if any, will apply only to the convertible notes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be redeemable (which we refer to as a “provisional redemption”), in whole or in part (subject to certain limitations), for cash at our election at any time, and from time to time, on or after October 22, 2029 and on or before the 20th scheduled trading day immediately before the maturity date, but only if the last reported sale price per share of our common stock exceeds 130% of the conversion price for a specified period of time. The convertible notes will also be redeemable (which we refer to as a “cleanup redemption”) in whole and not in part, for cash at our election at any time if the principal amount of the convertible notes then outstanding is less than 10% of the aggregate principal amount of the convertible notes issued in the concurrent convertible note offering (including any additional convertible notes issued pursuant to any exercise, by the underwriters of the concurrent convertible note offering, of their option to purchase additional convertible notes). The redemption price will be equal to the principal amount of the convertible notes to be redeemed,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a “fundamental change” (which will be defined in the indenture governing the convertible notes to include certain change-of-control events and the delisting of our common stock) occurs, then, subject to a limited exception, noteholders may require us to repurchase their convertible notes for cash. The repurchase price will be equal to the principal amount of the convertible notes to be repurchased, plus accrued and unpaid interest, if any, to, but excluding, the applicable repurchase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176371_10"/>
      <w:bookmarkEnd w:id="12"/>
      <w:r>
        <w:rPr>
          <w:rFonts w:ascii="Times New Roman" w:hAnsi="Times New Roman"/>
          <w:b/>
          <w:sz w:val="20"/>
        </w:rPr>
        <w:t xml:space="preserve">DESCRIPTION OF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summary of certain terms and conditions of the pre-funded warrants being offered in this offering. The following description is subject in all respects to the provisions contained in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Acquisition </w:t>
      </w:r>
    </w:p>
    <w:p>
      <w:pPr>
        <w:pStyle w:val="TextBody"/>
        <w:bidi w:val="0"/>
        <w:spacing w:before="120" w:after="0"/>
        <w:jc w:val="left"/>
        <w:rPr>
          <w:rFonts w:ascii="Times New Roman" w:hAnsi="Times New Roman"/>
          <w:sz w:val="20"/>
        </w:rPr>
      </w:pPr>
      <w:r>
        <w:rPr>
          <w:rFonts w:ascii="Times New Roman" w:hAnsi="Times New Roman"/>
          <w:sz w:val="20"/>
        </w:rPr>
        <w:t xml:space="preserve">No Non-U.S. Holders (as defined in the section of this prospectus supplement entitled “U.S. Federal Income Tax Considerations for Non-U.S. Holders of our Common Stock”) will be offered or sold pre-funded warrants to purchase shares of our common stock in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Form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be issued as individual warrant agreements to the purchasers. The form of pre-funded warrant will be filed as an exhibit to a Current Report on Form 8-K that we will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Term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will not expire until they are fully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pre-funded warrants are exercisable at any time until they are fully exercised. The pre-funded warrants will be exercisable, at the option of each holder, in whole or in part, by delivering to us a duly executed exercise notice and payment of the exercise price. No fractional shares of common stock will be issued in connection with the exercise of a pre-funded warrant. The holder of the pre-funded warrants may also satisfy its obligation to pay the exercise price through a “cashless exercise,” in which the holder receives the net value of the pre-funded warrant in shares of common stock determined according to the formula set forth in the pre-funded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We may not effect the exercise of any pre-funded warrant, and a holder will not be entitled to exercise any portion of any pre-funded warrant that, upon giving effect to such exercise, would cause: (i) the aggregate number of shares of common stock beneficially owned by such holder (together with its affiliates) to exceed 9.99% of the number of shares of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upon at least 61 days’ prior written notice from the holder to us.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of our shares of common stock purchasable upon the exercise of the pre-funded warrants is $0.001 per share.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 as well as upon any distribution of assets, including cash, stock or other property, to our stockholders. The exercise price of the pre-funded warrants will not be adjusted below the par value per share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laws, the pre-funded warrants may be offered for sale, sold, transferred or assigned without our consent.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We do not intend to list the pre-funded warrants on the Nasdaq Global Select Market, any other national securities exchange or any other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a fundamental transaction (as described in the pre-funded warrants, and generally including any reorganization, recapitalization or reclassification of shares of our common stock, the sale, transfer or other disposition of all or substantially all of our properties or assets, our consolidation or merger with or into another person, the acquisition of more than 50% of the outstanding shares of our common stock, or any person or group becoming the beneficial owner of 50% of the voting power of the outstanding shares of our common stock),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No Rights as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Except by virtue of such holder’s ownership of shares of our common stock, the holder of a pre-funded warrant does not have the rights or privileges of a holder of shares of our common stock, including any voting rights, until such holder exercises the pre-funded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176371_11"/>
      <w:bookmarkEnd w:id="13"/>
      <w:r>
        <w:rPr>
          <w:rFonts w:ascii="Times New Roman" w:hAnsi="Times New Roman"/>
          <w:b/>
          <w:sz w:val="20"/>
        </w:rPr>
        <w:t xml:space="preserve">U.S. FEDERAL INCOME TAX CONSIDERATIONS FOR </w:t>
      </w:r>
    </w:p>
    <w:p>
      <w:pPr>
        <w:pStyle w:val="TextBody"/>
        <w:bidi w:val="0"/>
        <w:spacing w:before="0" w:after="0"/>
        <w:jc w:val="center"/>
        <w:rPr>
          <w:rFonts w:ascii="Times New Roman" w:hAnsi="Times New Roman"/>
          <w:b/>
          <w:sz w:val="20"/>
        </w:rPr>
      </w:pPr>
      <w:r>
        <w:rPr>
          <w:rFonts w:ascii="Times New Roman" w:hAnsi="Times New Roman"/>
          <w:b/>
          <w:sz w:val="20"/>
        </w:rPr>
        <w:t xml:space="preserve">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U.S. federal income tax considerations that may be relevant to the ownership and disposition of our common stock acquired in this offering by Non-U.S. Holders (as defined below). No Non-U.S. Holders will be offered or sold pre-funded warrants to purchase shares of our common stock in this offering. This discussion is not a complete analysis of all potential U.S. federal income tax considerations that may be relevant to a Non-U.S. Holder’s particular circumstances, and does not address any non-U.S., state or local tax considerations that may be relevant to Non-U.S. Holders, nor does it address any U.S. federal taxes (such as gift and estate taxes) other than income taxes. Special rules different from those described below may apply to certain Non-U.S. Holders that are subject to special treatment under the U.S. Internal Revenue Code of 1986, as amended, or the Code, such as banks, financial institutions, insurance companies, tax-exempt organizations, brokers, dealers and certain electing traders in securities who mark their securities positions to market for U.S. tax purposes, retirement plans, individual retirement accounts or other tax deferred accounts, certain former U.S. citizens or long-term residents, “controlled foreign corporations,” “passive foreign investment companies,” corporations that accumulate earnings to avoid U.S. federal income tax, corporations organized outside of the United States, any state thereof or the District of Columbia that are treated as domestic corporations for U.S. federal tax purposes, persons that hold our common stock as part of a “straddle,” “hedge,” “conversion transaction,” “synthetic security” or integrated investment or other risk reduction strategy, persons subject to the alternative minimum tax, the federal Medicare contribution tax on net investment income or the special tax accounting rules under Section 451(b) of the Code, persons who own or have owned, directly, indirectly and constructively, more than five percent of our common stock at any time within the shorter of (i) the five-year period ending on the date of a disposition of our common stock and (ii) the person’s holding period for our common stock,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tax advisors to determine the U.S. federal, state, local and other tax consequences that may be relevant to them. 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including retroactively, which may result in U.S. federal income tax considerations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the purchase of our common stock pursuant to this offering should consult their tax advisors concerning the U.S. federal income, estate, gift and other tax consequences of acquiring, owning and disposing of our common stock in light of their particular situations as well as any consequences arising under the laws of any other taxing jurisdiction,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our common stock that is neither a U.S. Person nor a partnership (or other entity or arrangement classified as a partnership for U.S. federal income tax purposes, regardless of its jurisdiction of organization or formation). A “U.S. Person” means any person that is,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beneficial owner of our common stock that is a partnership (including any entity or arrangement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their tax advisor regarding the particular tax consequences applicable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we do not anticipate paying any cash dividends in the foreseeable future. Distributions, if any, made on our common stock to a Non-U.S. Holder to the extent made out of our current or accumulated earnings and profits (as determined under U.S. federal income tax principles) generally will constitute dividends for U.S. tax purposes, and will generally be subject to withholding tax at a 30% rate or such lower rate as may be specified by an applicable income tax treaty. To obtain a reduced rate of withholding under an income tax treaty, a Non-U.S. Holder generally will be required to provide us or the withholding agent with respect to our dividends with a properly executed IRS Form W-8BEN (in the case of individuals) or IRS Form W-8BEN-E (in the case of entities), or other appropriate form, certifying the Non-U.S. Holder’s entitlement to benefits under that treaty. This certification must be provided prior to the payment of dividends and may need to be updated in certain circumstances.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may be required to provide appropriate documentation to such agent, which may then be required to provide certification to the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We and other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certifying that the dividends are so effectively connected, is furnished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distributions on our common stock, if any, exceed our current and accumulated earnings and profits, they will first reduce the Non-U.S. Holder’s adjusted basis in our common stock, but not below zero, and then will be treated as capital gain to the extent of any excess of the amount of the distributions over the Non-U.S. Holder’s adjusted basis in our common stock, and taxed in the same manner as gain realized from a sale or other disposition of common stock as described in the next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Gain on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will not be subject to U.S. federal income tax or withholding tax with respect to gain realized on a sale, exchange or other disposition of our common stock unless (a) the gain is effectively connected with the conduct of a trade or business by the Non-U.S. Holder in the United States (and, if required by an applicable income tax treaty, is attributable to a permanent establishment or fixed base that such Non-U.S.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or USRPHC, within the meaning of Section 897(c)(2) of the Code at any time within the shorter of the five-year period preceding such disposition and such Non-U.S. Holder’s holding period for our common stock and certain other conditions are satisfied. In general, we will be a USRPHC if the aggregate fair market value of our “United States real property interests” equals or exceeds fifty percent (50%) of the combined fair market value of our worldwide real property interests and our other assets used or held for use in a trade or business (all as determined for U.S. federal income tax purposes). Although there can be no assurances in this regard, we believe that we have not been and are not, and do not anticipate becoming, a USRPHC. </w:t>
      </w:r>
    </w:p>
    <w:p>
      <w:pPr>
        <w:pStyle w:val="TextBody"/>
        <w:bidi w:val="0"/>
        <w:spacing w:before="240" w:after="0"/>
        <w:jc w:val="left"/>
        <w:rPr>
          <w:rFonts w:ascii="Times New Roman" w:hAnsi="Times New Roman"/>
          <w:sz w:val="20"/>
        </w:rPr>
      </w:pPr>
      <w:r>
        <w:rPr>
          <w:rFonts w:ascii="Times New Roman" w:hAnsi="Times New Roman"/>
          <w:sz w:val="20"/>
        </w:rPr>
        <w:t xml:space="preserve">Gain described in (a) above will generally be subject to U.S. federal income tax on a net income basis in the same manner as if the Non-U.S. Holder were a U.S. Person, and corporate Non-U.S. Holders may, in addition, be subject to a branch profits tax at a 30% rate, or such lower rate as may be specified by an applicable income tax treaty, on such effectively connected gain.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provided certain requirements are satisfied. Non-U.S. Holders should consult their tax advisors regarding the foregoing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withhold at a rate of 30% on dividends in respect of our common stock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IRS.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EACH PROSPECTIVE INVESTOR SHOULD CONSULT ITS TAX ADVISOR REGARDING THE TAX CONSEQUENCES OF PURCHASING, HOLDING AND DISPOSING OF OUR COMMON STOCK, INCLUDING THE CONSEQUENCES OF ANY CHANGES IN APPLICABLE LAW SUBSEQUENT TO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oc176371_12"/>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Leerink Partners LLC are acting as representatives of each of the underwriters named below. Subject to the terms and conditions set forth in an underwriting agreement dated the date of this prospectus supplement among us and the underwriters, we have agreed to sell to the underwriters, and each of the underwriters has agreed, severally and not jointly, to purchase from us, the number of shares of common stock and pre-funded warrants set forth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04"/>
        <w:gridCol w:w="233"/>
        <w:gridCol w:w="60"/>
        <w:gridCol w:w="1221"/>
        <w:gridCol w:w="60"/>
        <w:gridCol w:w="233"/>
        <w:gridCol w:w="60"/>
        <w:gridCol w:w="1221"/>
        <w:gridCol w:w="63"/>
      </w:tblGrid>
      <w:tr>
        <w:trPr/>
        <w:tc>
          <w:tcPr>
            <w:tcW w:w="46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4" w:type="dxa"/>
            <w:tcBorders/>
            <w:vAlign w:val="bottom"/>
          </w:tcPr>
          <w:p>
            <w:pPr>
              <w:pStyle w:val="TableContents"/>
              <w:bidi w:val="0"/>
              <w:spacing w:before="0" w:after="283"/>
              <w:jc w:val="left"/>
              <w:rPr>
                <w:b/>
              </w:rPr>
            </w:pPr>
            <w:r>
              <w:rPr>
                <w:b/>
              </w:rPr>
              <w:t>Underwriter</w:t>
            </w:r>
          </w:p>
        </w:tc>
        <w:tc>
          <w:tcPr>
            <w:tcW w:w="233"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4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604"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604" w:type="dxa"/>
            <w:tcBorders/>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604"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604"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6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of common stock and pre-funded warrants sold under the underwriting agreement if any of these shares and pre-funded warrants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of common stock and pre-funded warrants, subject to prior sale, when, as and if issued to and accepted by them, subject to approval of legal matters by their counsel, including the validity of the shares and pre-funded warrants, and other conditions contained in the underwriting agreement, such as the receipt by the underwriters of officer certificates and legal opinions. The underwriters reserve the right to withdraw, cancel or modify offers to the public and to reject orders in whole or in part. The underwriters have not been engaged to act as warrant agent for the pre-funded warrants or to act as underwriter or agent or otherwise participate in the issuance of the shares of our common stock upon the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and pre-funded warrants to the public at the public offering price set forth on the cover page of this prospectus supplement and to dealers at that price less a concession not in excess of $     per share of common stock or $    per pre-funded warrant. After the initial offering, the public offering price, concession or any other term of the offering may be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public offering price per share of common stock and pre-funded warrant, underwriting discount and proceeds before expenses to us. The information assumes either no exercise or full exercise by the underwriters of their option to purchase additional shares.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3"/>
        <w:gridCol w:w="288"/>
        <w:gridCol w:w="140"/>
        <w:gridCol w:w="1066"/>
        <w:gridCol w:w="60"/>
        <w:gridCol w:w="288"/>
        <w:gridCol w:w="148"/>
        <w:gridCol w:w="1155"/>
        <w:gridCol w:w="60"/>
        <w:gridCol w:w="288"/>
        <w:gridCol w:w="194"/>
        <w:gridCol w:w="1508"/>
        <w:gridCol w:w="60"/>
        <w:gridCol w:w="288"/>
        <w:gridCol w:w="140"/>
        <w:gridCol w:w="1065"/>
        <w:gridCol w:w="67"/>
      </w:tblGrid>
      <w:tr>
        <w:trPr/>
        <w:tc>
          <w:tcPr>
            <w:tcW w:w="257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7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Pre-Funded</w:t>
              <w:br/>
              <w:t>Warrant</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Without</w:t>
              <w:br/>
              <w:t>Option Exercise</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With Full</w:t>
              <w:br/>
              <w:t>Option</w:t>
              <w:br/>
              <w:t>Exercise</w:t>
            </w:r>
          </w:p>
        </w:tc>
        <w:tc>
          <w:tcPr>
            <w:tcW w:w="67"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5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57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5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1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5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payable by us are estimated to be approximately $    . We have also agreed to reimburse the underwriters for certain of their expenses in an amount up to $    , and the underwriters have agreed to reimburse us for certain expenses incurred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additional shares of our common stock from us, at the public offering price, less the underwriting discounts and commissions. If the underwriters exercise this option, each will be obligated, subject to conditions contained in the underwriting agreement, to purchase a number of additional shares of our common stock proportionate to that underwriter’s initial amount reflected in the above table.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subject to limited exceptions (including the convertible notes to be sold in the concurrent convertible note offering and any shares to be issued upon conversion of the convertible notes, and sales of our common stock under our Sales Agreement, provided no such sales shall be made for 30 days from the date of this prospectus supplement), that we will not: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in each case without the prior written consent of Jefferies LLC and Leerink Partners LLC, for a period continuing to and including the date 60 days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directors have entered into lock-up agreements with the underwriters prior to commencement of this offering pursuant to which each of these persons, with limited exceptions, for a period continuing to and including the date 60 days after the date of this prospectus supplement, may not, without the prior written consent of Jefferies LLC and Leerink Partners LLC: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common stock, or exercise any right with respect to the registration of any shares of our common stock or any securities convertible into or exercisable or exchangeable for our common stock, or file, cause to be filed or cause to be confidentially submitted any registration statement in connection therewith, under the Securities Act, or (ii) enter into any swap or any other agreement or any transaction that transfers, in whole or in part, directly or indirectly, the economic consequence of ownership of our common stock or any securities convertible into or exercisable or exchangeable for our common stock, whether any such swap or transaction is to be settled by delivery of common stock or other securities, in cash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are listed on the Nasdaq Global Select Market under the symbol “PCVX.” We do not intend to list the pre-funded warrants on the Nasdaq Global Select Market or any other national securities exchange or nationally recognized trading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Passive Market Making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underwriters and selling group members may engage in passive market making transactions in the common stock on the Nasdaq Global Select Market in accordance with Rule 103 of Regulation M under the Securities Exchange Act of 1934, as amended, or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Settlement</w:t>
      </w:r>
    </w:p>
    <w:p>
      <w:pPr>
        <w:pStyle w:val="TextBody"/>
        <w:bidi w:val="0"/>
        <w:spacing w:before="120" w:after="0"/>
        <w:jc w:val="left"/>
        <w:rPr>
          <w:rFonts w:ascii="Times New Roman" w:hAnsi="Times New Roman"/>
          <w:sz w:val="20"/>
        </w:rPr>
      </w:pPr>
      <w:r>
        <w:rPr>
          <w:rFonts w:ascii="Times New Roman" w:hAnsi="Times New Roman"/>
          <w:sz w:val="20"/>
        </w:rPr>
        <w:t>We expect to deliver the shares of common stock to investors in book-entry form through the facilities of The Depository Trust Company, and we expect to deliver the pre-funded warrants, on or about October  , 2026, which will be the second business day following the initial trade date for the shares offered pursuant to this prospectus supplement (this settlement cycle being referred to as “T+2”). Under Rule 15c6-1 under the Exchange Act, trades in the secondary market generally are required to settle in one business day, unless the parties to any such trade expressly agree otherwise. Accordingly, purchasers who wish to trade the shares of common stock being offered hereby prior to the business day preceding the settlement date will be required, by virtue of the fact that the shares initially will settle T+2, to specify an alternate settlement cycle at the time of any such trade to prevent a failed settlement. Purchasers of the shares who wish to trade the shares prior to the business day preceding the settlement date should consult their own advisors.</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In connection with the offering, certain of the underwriters or securities dealers may distribute prospectuses by electronic means, such as e-mail.</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For example, Leerink Partners LLC also serves as sales agent pursuant to our Sales Agreement for our “at-the-market”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 example, certain of the underwriters in this offering are also acting as underwriters in the concurrent convertible note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Concurrent Convertible Note Offering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this offering, we are conducting a public offering of $    aggregate principal amount of our  % convertible senior notes due 2032 (or up to $    aggregate principal amount if the underwriters in the concurrent convertible note offering exercise in full their over-allotment option). Neither this offering nor the concurrent convertible note offering is conditioned upon the completion of the other, so it is possible that this offering occurs and the concurrent convertible note offering does not occur, or vice versa. We cannot assure you that the concurrent convertible note offering will be completed on the terms described herein, on significantly different terms or at all. The concurrent convertible note offering is being made pursuant to a separate prospectus supplement and nothing contained herein shall constitute an offer to sell or the solicitation of an offer to buy the convertible notes to be issued in the concurrent convertible note offering, or the shares of common stock, if any, issuable upon conversion of the convertible notes we are offering in the concurrent convertible note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this offering to the public in that Relevant State prior to the publication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of the representatives to publish a prospectus pursuant to Article 3 of the Prospectus Regulation, supplement a prospectus pursuant to Article 23 of the Prospectus Regulation or publish an Annex IX document pursuant to Article 1(4) of the Prospectus Regulation. 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this offering to the public in the United Kingdom (the “UK”) except that the shares may be offered to the public in the UK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offer is conditional on the admission of the shares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under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initially acquires any shares or to whom any offer is made will be deemed to have represented, acknowledged and agreed to and with us and the representatives that it is a qualified investor within the meaning of paragraph 15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We, the representatives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UK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or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us or the shares has been or will be filed with or approved by any Swiss regulatory authority. In particular, this prospectus supplement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or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or invitation to the public for the purpose of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This prospectus supplement has not been registered with the Registrar of Companies in Hong Kong. Accordingly, this prospectus supplement may not be issued, circulated or distributed in Hong Kong, and the shares may not be offered for subscription to members of the public in Hong Kong. Each person acquiring the shares will be required, and is deemed by the acquisition of the shares, to confirm that he is aware of the restriction on offers of the shares described in this prospectus supplement and the relevant offering documents and that he is not acquiring, and has not been offered any shares in circumstances that contravene any such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309B of the SFA and the Capital Markets Products, or the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oc176371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pre-funded warrants being offered by this prospectus supplement will be passed upon for us by Skadden, Arps, Slate, Meagher &amp; Flom LLP, New York, New York. Latham &amp; Watkins LLP, Redwood City, California, is acting as counsel to the underwriters in connection with this offering. </w:t>
      </w:r>
    </w:p>
    <w:p>
      <w:pPr>
        <w:pStyle w:val="TextBody"/>
        <w:bidi w:val="0"/>
        <w:spacing w:before="480" w:after="0"/>
        <w:jc w:val="center"/>
        <w:rPr>
          <w:rFonts w:ascii="Times New Roman" w:hAnsi="Times New Roman"/>
          <w:b/>
          <w:sz w:val="20"/>
        </w:rPr>
      </w:pPr>
      <w:bookmarkStart w:id="16" w:name="supptoc176371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as of December 31, 2025 and 2024, and for each of the three years in the period ended December 31, 2025, incorporated by reference in this prospectus supplement by reference to Vaxcyte, Inc.’s annual report on Form 10-K for the year ended December 31, 2025,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480" w:after="0"/>
        <w:jc w:val="center"/>
        <w:rPr>
          <w:rFonts w:ascii="Times New Roman" w:hAnsi="Times New Roman"/>
          <w:b/>
          <w:sz w:val="20"/>
        </w:rPr>
      </w:pPr>
      <w:bookmarkStart w:id="17" w:name="supptoc176371_15"/>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https://www.vaxcyte.com. Information contained on, or that can be accessed through, our website is not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the registration statement that we filed with the SEC and do not contain all of the information in the registration statement. The full registration statement may be obtained from the SEC or us, as provided below. For further information with respect to us and our common stock, please refer to the registration statement, including its exhibits and schedules.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upptoc176371_16"/>
      <w:bookmarkEnd w:id="18"/>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accompanying prospectus or a previously filed document incorporated by reference will be deemed to be modified or superseded for purposes of this prospectus supplement and accompanying prospectus to the extent that a statement contained in this prospectus supplement and accompanying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We incorporate by reference our documents listed below and any future filings made by us with the SEC under Sections 13(a), 13(c), 14 or 15(d) of the Exchange Act in this prospectus supplement and accompanying prospectus,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accompanying prospectus incorporates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w:t>
            </w:r>
            <w:hyperlink r:id="rId5">
              <w:r>
                <w:rPr>
                  <w:rStyle w:val="InternetLink"/>
                  <w:rFonts w:ascii="Times New Roman" w:hAnsi="Times New Roman"/>
                  <w:sz w:val="20"/>
                </w:rPr>
                <w:t>March  31, 2026</w:t>
              </w:r>
            </w:hyperlink>
            <w:r>
              <w:rPr>
                <w:rFonts w:ascii="Times New Roman" w:hAnsi="Times New Roman"/>
                <w:sz w:val="20"/>
              </w:rPr>
              <w:t xml:space="preserve">, filed with the SEC on May 6, 2026, and </w:t>
            </w:r>
            <w:hyperlink r:id="rId6">
              <w:r>
                <w:rPr>
                  <w:rStyle w:val="InternetLink"/>
                  <w:rFonts w:ascii="Times New Roman" w:hAnsi="Times New Roman"/>
                  <w:sz w:val="20"/>
                </w:rPr>
                <w:t>June 30, 2026</w:t>
              </w:r>
            </w:hyperlink>
            <w:r>
              <w:rPr>
                <w:rFonts w:ascii="Times New Roman" w:hAnsi="Times New Roman"/>
                <w:sz w:val="20"/>
              </w:rPr>
              <w:t xml:space="preserve">, filed with the SEC on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8">
              <w:r>
                <w:rPr>
                  <w:rStyle w:val="InternetLink"/>
                  <w:rFonts w:ascii="Times New Roman" w:hAnsi="Times New Roman"/>
                  <w:sz w:val="20"/>
                </w:rPr>
                <w:t>Schedule 14A</w:t>
              </w:r>
            </w:hyperlink>
            <w:r>
              <w:rPr>
                <w:rFonts w:ascii="Times New Roman" w:hAnsi="Times New Roman"/>
                <w:sz w:val="20"/>
              </w:rPr>
              <w:t xml:space="preserve">,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10">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1">
              <w:r>
                <w:rPr>
                  <w:rStyle w:val="InternetLink"/>
                  <w:rFonts w:ascii="Times New Roman" w:hAnsi="Times New Roman"/>
                  <w:sz w:val="20"/>
                </w:rPr>
                <w:t>February  2, 2026</w:t>
              </w:r>
            </w:hyperlink>
            <w:r>
              <w:rPr>
                <w:rFonts w:ascii="Times New Roman" w:hAnsi="Times New Roman"/>
                <w:sz w:val="20"/>
              </w:rPr>
              <w:t xml:space="preserve">, </w:t>
            </w:r>
            <w:hyperlink r:id="rId12">
              <w:r>
                <w:rPr>
                  <w:rStyle w:val="InternetLink"/>
                  <w:rFonts w:ascii="Times New Roman" w:hAnsi="Times New Roman"/>
                  <w:sz w:val="20"/>
                </w:rPr>
                <w:t>February  24, 2026</w:t>
              </w:r>
            </w:hyperlink>
            <w:r>
              <w:rPr>
                <w:rFonts w:ascii="Times New Roman" w:hAnsi="Times New Roman"/>
                <w:sz w:val="20"/>
              </w:rPr>
              <w:t xml:space="preserve">, </w:t>
            </w:r>
            <w:hyperlink r:id="rId13">
              <w:r>
                <w:rPr>
                  <w:rStyle w:val="InternetLink"/>
                  <w:rFonts w:ascii="Times New Roman" w:hAnsi="Times New Roman"/>
                  <w:sz w:val="20"/>
                </w:rPr>
                <w:t>June 16,  2026</w:t>
              </w:r>
            </w:hyperlink>
            <w:r>
              <w:rPr>
                <w:rFonts w:ascii="Times New Roman" w:hAnsi="Times New Roman"/>
                <w:sz w:val="20"/>
              </w:rPr>
              <w:t xml:space="preserve">, </w:t>
            </w:r>
            <w:hyperlink r:id="rId14">
              <w:r>
                <w:rPr>
                  <w:rStyle w:val="InternetLink"/>
                  <w:rFonts w:ascii="Times New Roman" w:hAnsi="Times New Roman"/>
                  <w:sz w:val="20"/>
                </w:rPr>
                <w:t>June  23, 2026</w:t>
              </w:r>
            </w:hyperlink>
            <w:r>
              <w:rPr>
                <w:rFonts w:ascii="Times New Roman" w:hAnsi="Times New Roman"/>
                <w:sz w:val="20"/>
              </w:rPr>
              <w:t xml:space="preserve">, </w:t>
            </w:r>
            <w:hyperlink r:id="rId15">
              <w:r>
                <w:rPr>
                  <w:rStyle w:val="InternetLink"/>
                  <w:rFonts w:ascii="Times New Roman" w:hAnsi="Times New Roman"/>
                  <w:sz w:val="20"/>
                </w:rPr>
                <w:t>July  15, 2026</w:t>
              </w:r>
            </w:hyperlink>
            <w:r>
              <w:rPr>
                <w:rFonts w:ascii="Times New Roman" w:hAnsi="Times New Roman"/>
                <w:sz w:val="20"/>
              </w:rPr>
              <w:t xml:space="preserve">, </w:t>
            </w:r>
            <w:hyperlink r:id="rId16">
              <w:r>
                <w:rPr>
                  <w:rStyle w:val="InternetLink"/>
                  <w:rFonts w:ascii="Times New Roman" w:hAnsi="Times New Roman"/>
                  <w:sz w:val="20"/>
                </w:rPr>
                <w:t>September 3, 2026</w:t>
              </w:r>
            </w:hyperlink>
            <w:r>
              <w:rPr>
                <w:rFonts w:ascii="Times New Roman" w:hAnsi="Times New Roman"/>
                <w:sz w:val="20"/>
              </w:rPr>
              <w:t xml:space="preserve"> (with respect to Item  5.02 only), and </w:t>
            </w:r>
            <w:hyperlink r:id="rId17">
              <w:r>
                <w:rPr>
                  <w:rStyle w:val="InternetLink"/>
                  <w:rFonts w:ascii="Times New Roman" w:hAnsi="Times New Roman"/>
                  <w:sz w:val="20"/>
                </w:rPr>
                <w:t>October 5, 2026</w:t>
              </w:r>
            </w:hyperlink>
            <w:r>
              <w:rPr>
                <w:rFonts w:ascii="Times New Roman" w:hAnsi="Times New Roman"/>
                <w:sz w:val="20"/>
              </w:rPr>
              <w:t xml:space="preserve"> (with respect to Item 8.01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supplement but not delivered with this prospectus supplement, including exhibits which are specifically incorporated by reference into such documents. You should direct any requests for documents by writing or telephoning us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(650) 837-0111</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4015" cy="4883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914015" cy="4883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and sell securities pursuant to this prospectus,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with respect to that offering. You should carefully read this prospectus, the applicable prospectus supplement and any related free writing prospectus,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4"/>
        </w:rPr>
        <w:t>INVESTING IN OUR SECURITIES INVOLVES RISKS. SEE THE “</w:t>
      </w:r>
      <w:hyperlink w:anchor="toc176371_4">
        <w:r>
          <w:rPr>
            <w:rStyle w:val="InternetLink"/>
            <w:rFonts w:ascii="Times New Roman" w:hAnsi="Times New Roman"/>
            <w:b/>
            <w:sz w:val="24"/>
          </w:rPr>
          <w:t>RISK FACTORS</w:t>
        </w:r>
      </w:hyperlink>
      <w:r>
        <w:rPr>
          <w:rFonts w:ascii="Times New Roman" w:hAnsi="Times New Roman"/>
          <w:b/>
          <w:sz w:val="24"/>
        </w:rPr>
        <w:t xml:space="preserve">” ON PAGE 5 OF THIS PROSPECTUS AND ANY SIMILAR SECTION CONTAINED IN THE APPLICABLE PROSPECTUS SUPPLEMENT AND IN ANY FREE WRITING PROSPECTUS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On May 23, 2024, the last reported sale price of our common stock on the Nasdaq Global Select Market was $69.27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24,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2">
              <w:r>
                <w:rPr>
                  <w:rStyle w:val="InternetLink"/>
                  <w:rFonts w:ascii="Times New Roman" w:hAnsi="Times New Roman"/>
                  <w:sz w:val="20"/>
                </w:rPr>
                <w:t>WHERE YOU CAN FIND MORE INFORMATION; 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3">
              <w:r>
                <w:rPr>
                  <w:rStyle w:val="InternetLink"/>
                  <w:rFonts w:ascii="Times New Roman" w:hAnsi="Times New Roman"/>
                  <w:sz w:val="20"/>
                </w:rPr>
                <w:t>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5">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7">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76371_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76371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that we filed with the U.S. Securities and Exchange Commission, or the SEC, as a “well-known seasoned issuer” as defined in Rule 405 under the Securities Act of 1933, as amended, which we refer to as the “Securities Act” in this prospectus,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“Vaxcyte,” “we,” “our,” “us” and the “Company” in this prospectus, we mean Vaxcyte, Inc.,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includes trademarks, tradenames and service marks that are the property of other organizations. Solely for convenience, trademarks and tradenames referred to in this prospectus appear without the ® and TM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76371_2"/>
      <w:bookmarkEnd w:id="20"/>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www.vaxcyte.com.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an automatic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have previously been filed with the SEC (Commission No. 001-39323):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9">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on March 31, 2024, filed with the SEC on </w:t>
            </w:r>
            <w:hyperlink r:id="rId20">
              <w:r>
                <w:rPr>
                  <w:rStyle w:val="InternetLink"/>
                  <w:rFonts w:ascii="Times New Roman" w:hAnsi="Times New Roman"/>
                  <w:sz w:val="20"/>
                </w:rPr>
                <w:t>May 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1">
              <w:r>
                <w:rPr>
                  <w:rStyle w:val="InternetLink"/>
                  <w:rFonts w:ascii="Times New Roman" w:hAnsi="Times New Roman"/>
                  <w:sz w:val="20"/>
                </w:rPr>
                <w:t>Form  10-K</w:t>
              </w:r>
            </w:hyperlink>
            <w:r>
              <w:rPr>
                <w:rFonts w:ascii="Times New Roman" w:hAnsi="Times New Roman"/>
                <w:sz w:val="20"/>
              </w:rPr>
              <w:t xml:space="preserve"> for the year ended December  31, 2023 from our Definitive Proxy Statement on </w:t>
            </w:r>
            <w:hyperlink r:id="rId22">
              <w:r>
                <w:rPr>
                  <w:rStyle w:val="InternetLink"/>
                  <w:rFonts w:ascii="Times New Roman" w:hAnsi="Times New Roman"/>
                  <w:sz w:val="20"/>
                </w:rPr>
                <w:t>Schedule 14A</w:t>
              </w:r>
            </w:hyperlink>
            <w:r>
              <w:rPr>
                <w:rFonts w:ascii="Times New Roman" w:hAnsi="Times New Roman"/>
                <w:sz w:val="20"/>
              </w:rPr>
              <w:t xml:space="preserve">, filed with the SEC on April 15,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3">
              <w:r>
                <w:rPr>
                  <w:rStyle w:val="InternetLink"/>
                  <w:rFonts w:ascii="Times New Roman" w:hAnsi="Times New Roman"/>
                  <w:sz w:val="20"/>
                </w:rPr>
                <w:t>Form 8-A</w:t>
              </w:r>
            </w:hyperlink>
            <w:r>
              <w:rPr>
                <w:rFonts w:ascii="Times New Roman" w:hAnsi="Times New Roman"/>
                <w:sz w:val="20"/>
              </w:rPr>
              <w:t xml:space="preserve">, filed with the SEC on June 9, 2020, as updated by </w:t>
            </w:r>
            <w:hyperlink r:id="rId24">
              <w:r>
                <w:rPr>
                  <w:rStyle w:val="InternetLink"/>
                  <w:rFonts w:ascii="Times New Roman" w:hAnsi="Times New Roman"/>
                  <w:sz w:val="20"/>
                </w:rPr>
                <w:t>Exhibit 4.2</w:t>
              </w:r>
            </w:hyperlink>
            <w:r>
              <w:rPr>
                <w:rFonts w:ascii="Times New Roman" w:hAnsi="Times New Roman"/>
                <w:sz w:val="20"/>
              </w:rPr>
              <w:t xml:space="preserve"> to our Annual Report on Form 10-K for the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ended December 31, 2020, and any amendment or report filed with the SEC for the purpose of updating the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25">
              <w:r>
                <w:rPr>
                  <w:rStyle w:val="InternetLink"/>
                  <w:rFonts w:ascii="Times New Roman" w:hAnsi="Times New Roman"/>
                  <w:sz w:val="20"/>
                </w:rPr>
                <w:t>January 31,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Vaxcyte,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825 Industrial Road </w:t>
      </w:r>
    </w:p>
    <w:p>
      <w:pPr>
        <w:pStyle w:val="TextBody"/>
        <w:bidi w:val="0"/>
        <w:spacing w:before="0" w:after="0"/>
        <w:jc w:val="center"/>
        <w:rPr>
          <w:rFonts w:ascii="Times New Roman" w:hAnsi="Times New Roman"/>
          <w:sz w:val="20"/>
        </w:rPr>
      </w:pPr>
      <w:r>
        <w:rPr>
          <w:rFonts w:ascii="Times New Roman" w:hAnsi="Times New Roman"/>
          <w:sz w:val="20"/>
        </w:rPr>
        <w:t xml:space="preserve">Suite 300 </w:t>
      </w:r>
    </w:p>
    <w:p>
      <w:pPr>
        <w:pStyle w:val="TextBody"/>
        <w:bidi w:val="0"/>
        <w:spacing w:before="0" w:after="0"/>
        <w:jc w:val="center"/>
        <w:rPr>
          <w:rFonts w:ascii="Times New Roman" w:hAnsi="Times New Roman"/>
          <w:sz w:val="20"/>
        </w:rPr>
      </w:pPr>
      <w:r>
        <w:rPr>
          <w:rFonts w:ascii="Times New Roman" w:hAnsi="Times New Roman"/>
          <w:sz w:val="20"/>
        </w:rPr>
        <w:t xml:space="preserve">San Carlos, CA 94070 </w:t>
      </w:r>
    </w:p>
    <w:p>
      <w:pPr>
        <w:pStyle w:val="TextBody"/>
        <w:bidi w:val="0"/>
        <w:spacing w:before="0" w:after="0"/>
        <w:jc w:val="center"/>
        <w:rPr>
          <w:rFonts w:ascii="Times New Roman" w:hAnsi="Times New Roman"/>
          <w:sz w:val="20"/>
        </w:rPr>
      </w:pPr>
      <w:r>
        <w:rPr>
          <w:rFonts w:ascii="Times New Roman" w:hAnsi="Times New Roman"/>
          <w:sz w:val="20"/>
        </w:rPr>
        <w:t xml:space="preserve">(650) 837-0111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76371_3"/>
      <w:bookmarkEnd w:id="21"/>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vaccine innovation company engineering high-fidelity vaccines to protect humankind from the consequences of bacterial diseases. We are developing broad-spectrum conjugate and novel protein vaccines to prevent or treat bacterial infectious diseases. We are re-engineering the way highly complex vaccines are made through modern synthetic techniques, including advanced chemistry and the XpressCF cell-free protein synthesis platform, exclusively licensed from Sutro Biopharma, Inc. Unlike conventional cell-based approaches, our system for producing difficult-to-make proteins and antigens is intended to accelerate our ability to efficiently create and deliver high-fidelity vaccines with enhanced immunological benefits. </w:t>
      </w:r>
    </w:p>
    <w:p>
      <w:pPr>
        <w:pStyle w:val="TextBody"/>
        <w:bidi w:val="0"/>
        <w:spacing w:before="240" w:after="0"/>
        <w:jc w:val="left"/>
        <w:rPr>
          <w:rFonts w:ascii="Times New Roman" w:hAnsi="Times New Roman"/>
          <w:sz w:val="20"/>
        </w:rPr>
      </w:pPr>
      <w:r>
        <w:rPr>
          <w:rFonts w:ascii="Times New Roman" w:hAnsi="Times New Roman"/>
          <w:sz w:val="20"/>
        </w:rPr>
        <w:t xml:space="preserve">Vaccines are one of the most successful and cost-effective global health interventions and prevent millions of deaths worldwide each year. Routine pediatric vaccinations in the United States are estimated to prevent 20 million cases of disease each year, and it is estimated that every $1 spent on childhood vaccination saves $10 from a societal perspective. Adult vaccination rates are lower than pediatric vaccination rates, but new technologies are driving adult vaccine development, which in turn is fueling the growth of the overall vaccine market. Given the critical role vaccines play in preventing disease from childhood to adulthood, the global vaccine market is large, durable and growing. There are areas of significant unmet medical need, including vaccines that can provide broader protection than currently marketed vaccines and novel vaccines that target pathogens for which there are no currently approved vaccines. We are driven to eradicate or treat invasive bacterial infections, which have serious and costly health consequences when left unchecked. </w:t>
      </w:r>
    </w:p>
    <w:p>
      <w:pPr>
        <w:pStyle w:val="TextBody"/>
        <w:bidi w:val="0"/>
        <w:spacing w:before="240" w:after="0"/>
        <w:jc w:val="left"/>
        <w:rPr>
          <w:rFonts w:ascii="Times New Roman" w:hAnsi="Times New Roman"/>
          <w:sz w:val="20"/>
        </w:rPr>
      </w:pPr>
      <w:r>
        <w:rPr>
          <w:rFonts w:ascii="Times New Roman" w:hAnsi="Times New Roman"/>
          <w:sz w:val="20"/>
        </w:rPr>
        <w:t xml:space="preserve">We carefully select our target disease areas and vaccine candidates based on the following criteria: areas of significant unmet medical need, clear commercial opportunity and efficient market adoption, acceptable biological risk and established or acceptable clinical pathways. We are leveraging our scalable cell-free protein synthesis platform to develop potentially superior and novel conjugate and protein vaccine candidates for adult and pediatric indications using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under the laws of the state of Delaware in November 2013 as SutroVax, Inc. and changed our name to Vaxcyte, Inc. in May 2020. Our principal executive office is located at 825 Industrial Road, Suite 300, San Carlos, California 94070. </w:t>
      </w:r>
    </w:p>
    <w:p>
      <w:pPr>
        <w:pStyle w:val="TextBody"/>
        <w:bidi w:val="0"/>
        <w:spacing w:before="240" w:after="0"/>
        <w:jc w:val="left"/>
        <w:rPr>
          <w:rFonts w:ascii="Times New Roman" w:hAnsi="Times New Roman"/>
          <w:sz w:val="20"/>
        </w:rPr>
      </w:pPr>
      <w:r>
        <w:rPr>
          <w:rFonts w:ascii="Times New Roman" w:hAnsi="Times New Roman"/>
          <w:sz w:val="20"/>
        </w:rPr>
        <w:t xml:space="preserve">Our telephone number is (650) 837-0111. Our website address is www.vaxcyte.com. Information contained on, or that can be accessed through, our website is not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76371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the applicable prospectus supplement and any related free writing prospectus involves risks. You should carefully consider the risk factors incorporated by reference from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free writing prospectus before acquiring any of such securities. The occurrence of any of these risks might cause you to lose all or part of your investment in the offered securities. Please also carefully read the section below titled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76371_5"/>
      <w:bookmarkEnd w:id="23"/>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as well as the documents incorporated by reference in this prospectus or any accompanying prospectus supplement, contain forward-looking statements within the meaning of Section 21E of the Exchange Act. All statements other than statements of historical facts contained in this prospectus, any accompanying prospectus supplement and the documents incorporated by reference,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accompanying prospectus supplement and the documents incorporated by reference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 The forward-looking statements in this prospectus, any accompanying prospectus supplement and the documents incorporated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the document containing the applicable statement and are subject to a number of risks, uncertainties and assumptions, which we discuss in greater detail in the documents incorporated by reference, including under the heading “Risk Factors”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Given these risks and uncertainties, you should not place undue reliance on these forward-looking statements. Except as required by applicable law, we do not plan to publicly update or revise any forward-looking statements contained in this prospectus, any accompanying prospectus supplement or the documents incorporated by reference,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76371_6"/>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76371_7"/>
      <w:bookmarkEnd w:id="2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76371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510,000,000 shares, all with a par value of $0.001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shares are designated as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are designated as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including the election of directors, and do not have cumulative voting rights. 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duly authorized, validly issued, fully paid and nonassessable. All authorized but unissued shares of our common stock will be available for issuance by our board of directors without any further stockholder action, except as required by the listing standards of the Nasdaq Stock Market.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shares may have voting or conversion rights that could have the effect of restricting dividends on our shares of common stock, diluting the voting power of our shares of common stock, impairing the rights of our shares of common stock in the event of our dissolution, liquidation or winding-up or otherwise adversely affect the rights of holders of our shares of common stock. The issuance of preferred shares, while providing flexibility in connection with possible acquisitions and other corporate purposes, could, among other things, have the effect of delaying, deferring or preventing a change of control and may adversely affect the market price of our shares of common stock and may preclude stockholders from realizing a potential premium over the market value of their shares.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rights, qualifications, limitations and restrictions of each series of preferred stock that we offer under this prospectus and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the state of our incorporation, provides that the holders of preferred stock will have the right to vote separately as a class (or, in some cases, as a series)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our amended and restated certificate of incorporation if the amendment would change the par value or, unless the amended and restated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a special meeting of stockholders may be called only by our chairman of the board,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will, to the fullest extent permitted by applicable law, be the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employees to us or our stockholders; (iii) any action or proceeding asserting a claim against us or any of our current or former directors, officers or employees arising out of or pursuant to any provision of the DGCL or our certificate of incorporation or bylaws; (iv) any action or proceeding to interpret, apply, enforce or determine the validity of our certificate of incorporation or bylaws; (v) any action or proceeding as to which the DGCL confers jurisdiction to the Court of Chancery of the State of Delaware; or (vi) any action or proceeding asserting a claim against us or any of our current or former directors, officers or employees governed by the internal affairs doctrine. This provision does not apply to suits brought to enforce a duty or liability created by the Securities Act, the Exchange Act or any other claim for which the U.S.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holding, owning, purchasing or otherwise acquiring any interest in any of our securities will be deemed to have notice of and to have consented to these choice of forum provisions. While the Delaware courts have determined that such choice of forum provisions are facially valid, it is possible that a court of law in another jurisdiction could rule that the choice of forum provisions to be contained in our amended and restated certificate of incorporation are inapplicable or unenforceable if they are challenged in a proceeding or otherwise. If a court were to find the choice of forum provision that will be contained in our amended and restated certificate of incorporation to be inapplicable or unenforceable in an action, we may incur additional costs associated with resolving such action in other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requires approval by holders of at least two-thirds of the total voting power of all of our outstanding voting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 and registrar’s address is 6201 15th Avenue, Brooklyn, New York 11219.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“PCVX.”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76371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w:t>
            </w:r>
            <w:r>
              <w:rPr>
                <w:rFonts w:ascii="Times New Roman" w:hAnsi="Times New Roman"/>
                <w:i/>
                <w:sz w:val="20"/>
              </w:rPr>
              <w:t>provided, however</w:t>
            </w:r>
            <w:r>
              <w:rPr>
                <w:rFonts w:ascii="Times New Roman" w:hAnsi="Times New Roman"/>
                <w:sz w:val="20"/>
              </w:rPr>
              <w:t xml:space="preserve">,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w:t>
            </w:r>
            <w:r>
              <w:rPr>
                <w:rFonts w:ascii="Times New Roman" w:hAnsi="Times New Roman"/>
                <w:i/>
                <w:sz w:val="20"/>
              </w:rPr>
              <w:t>provided, however</w:t>
            </w:r>
            <w:r>
              <w:rPr>
                <w:rFonts w:ascii="Times New Roman" w:hAnsi="Times New Roman"/>
                <w:sz w:val="20"/>
              </w:rPr>
              <w:t xml:space="preserve">,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of the outstanding debt securities of that series, by notice to us in writing, and to the trustee if notice is given by such holders, may declare the unpaid principal of, premium, if any, and accrued interest, if any, of such series of debt securities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76371_10"/>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w:t>
      </w:r>
    </w:p>
    <w:p>
      <w:pPr>
        <w:pStyle w:val="TextBody"/>
        <w:bidi w:val="0"/>
        <w:spacing w:before="240" w:after="0"/>
        <w:jc w:val="left"/>
        <w:rPr>
          <w:rFonts w:ascii="Times New Roman" w:hAnsi="Times New Roman"/>
          <w:sz w:val="20"/>
        </w:rPr>
      </w:pPr>
      <w:r>
        <w:rPr>
          <w:rFonts w:ascii="Times New Roman" w:hAnsi="Times New Roman"/>
          <w:sz w:val="20"/>
        </w:rPr>
        <w:t xml:space="preserve">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Vaxcyte.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76371_11"/>
      <w:bookmarkEnd w:id="29"/>
      <w:r>
        <w:rPr>
          <w:rFonts w:ascii="Times New Roman" w:hAnsi="Times New Roman"/>
          <w:b/>
          <w:sz w:val="20"/>
        </w:rPr>
        <w:t xml:space="preserve">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76371_12"/>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“at-the-market” offerings, negotiated transactions, block trades or a combination of these methods. We may sell the securities to or through one or more underwriters or dealers (acting as principal or agent), through agents, or directly to one or more purchasers. </w:t>
      </w:r>
    </w:p>
    <w:p>
      <w:pPr>
        <w:pStyle w:val="TextBody"/>
        <w:bidi w:val="0"/>
        <w:spacing w:before="240" w:after="0"/>
        <w:jc w:val="left"/>
        <w:rPr>
          <w:rFonts w:ascii="Times New Roman" w:hAnsi="Times New Roman"/>
          <w:sz w:val="20"/>
        </w:rPr>
      </w:pPr>
      <w:r>
        <w:rPr>
          <w:rFonts w:ascii="Times New Roman" w:hAnsi="Times New Roman"/>
          <w:sz w:val="20"/>
        </w:rPr>
        <w:t xml:space="preserve">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76371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Skadden, Arps, Slate, Meagher &amp; Flom LLP, New York, New York, will pass upon certain legal matters relating to the issuance and sale of the securities offered hereby on behalf of Vaxcyte, Inc. Additional legal matters may be passed upon for us or any underwriters, dealers or agents, by counsel that we will name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176371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Vaxcyte, Inc. incorporated by reference in this Prospectus, and the effectiveness of Vaxcyte,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pPr>
      <w:r>
        <w:rPr/>
        <w:t>   </w:t>
      </w:r>
      <w:r>
        <w:rPr>
          <w:rFonts w:ascii="Times New Roman" w:hAnsi="Times New Roman"/>
          <w:b/>
          <w:sz w:val="28"/>
        </w:rPr>
        <w:t xml:space="preserve">Shares of Common Stock </w:t>
      </w:r>
    </w:p>
    <w:p>
      <w:pPr>
        <w:pStyle w:val="TextBody"/>
        <w:bidi w:val="0"/>
        <w:spacing w:before="480" w:after="0"/>
        <w:jc w:val="center"/>
        <w:rPr>
          <w:rFonts w:ascii="Times New Roman" w:hAnsi="Times New Roman"/>
          <w:b/>
          <w:sz w:val="28"/>
        </w:rPr>
      </w:pPr>
      <w:r>
        <w:rPr>
          <w:rFonts w:ascii="Times New Roman" w:hAnsi="Times New Roman"/>
          <w:b/>
          <w:sz w:val="28"/>
        </w:rPr>
        <w:t xml:space="preserve">Pre-Funded Warrants to Purchase    Shares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12745" cy="4883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2912745" cy="4883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Bookrunning Managers </w:t>
      </w:r>
    </w:p>
    <w:p>
      <w:pPr>
        <w:pStyle w:val="TextBody"/>
        <w:bidi w:val="0"/>
        <w:spacing w:before="12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Leerink Partners </w:t>
      </w:r>
    </w:p>
    <w:p>
      <w:pPr>
        <w:pStyle w:val="TextBody"/>
        <w:bidi w:val="0"/>
        <w:spacing w:before="120" w:after="0"/>
        <w:jc w:val="center"/>
        <w:rPr>
          <w:rFonts w:ascii="Times New Roman" w:hAnsi="Times New Roman"/>
          <w:b/>
          <w:sz w:val="32"/>
        </w:rPr>
      </w:pPr>
      <w:r>
        <w:rPr>
          <w:rFonts w:ascii="Times New Roman" w:hAnsi="Times New Roman"/>
          <w:b/>
          <w:sz w:val="32"/>
        </w:rPr>
        <w:t xml:space="preserve">BofA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Evercore ISI </w:t>
      </w:r>
    </w:p>
    <w:p>
      <w:pPr>
        <w:pStyle w:val="TextBody"/>
        <w:bidi w:val="0"/>
        <w:spacing w:before="12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Bookrunner </w:t>
      </w:r>
    </w:p>
    <w:p>
      <w:pPr>
        <w:pStyle w:val="TextBody"/>
        <w:bidi w:val="0"/>
        <w:spacing w:before="120" w:after="0"/>
        <w:jc w:val="center"/>
        <w:rPr>
          <w:rFonts w:ascii="Times New Roman" w:hAnsi="Times New Roman"/>
          <w:b/>
          <w:sz w:val="28"/>
        </w:rPr>
      </w:pPr>
      <w:r>
        <w:rPr>
          <w:rFonts w:ascii="Times New Roman" w:hAnsi="Times New Roman"/>
          <w:b/>
          <w:sz w:val="28"/>
        </w:rPr>
        <w:t xml:space="preserve">Mizuho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Lead Manager </w:t>
      </w:r>
    </w:p>
    <w:p>
      <w:pPr>
        <w:pStyle w:val="TextBody"/>
        <w:bidi w:val="0"/>
        <w:spacing w:before="120" w:after="0"/>
        <w:jc w:val="center"/>
        <w:rPr>
          <w:rFonts w:ascii="Times New Roman" w:hAnsi="Times New Roman"/>
          <w:b/>
          <w:sz w:val="24"/>
        </w:rPr>
      </w:pPr>
      <w:r>
        <w:rPr>
          <w:rFonts w:ascii="Times New Roman" w:hAnsi="Times New Roman"/>
          <w:b/>
          <w:sz w:val="24"/>
        </w:rPr>
        <w:t xml:space="preserve">BTIG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649094/000164909426000007/pcvx-20251231.htm" TargetMode="External"/><Relationship Id="rId5" Type="http://schemas.openxmlformats.org/officeDocument/2006/relationships/hyperlink" Target="http://www.sec.gov/Archives/edgar/data/../../../ix?doc=/Archives/edgar/data/1649094/000164909426000017/pcvx-20260331.htm" TargetMode="External"/><Relationship Id="rId6" Type="http://schemas.openxmlformats.org/officeDocument/2006/relationships/hyperlink" Target="http://www.sec.gov/Archives/edgar/data/../../../ix?doc=/Archives/edgar/data/1649094/000164909426000043/pcvx-20260630.htm" TargetMode="External"/><Relationship Id="rId7" Type="http://schemas.openxmlformats.org/officeDocument/2006/relationships/hyperlink" Target="http://www.sec.gov/Archives/edgar/data/../../../ix?doc=/Archives/edgar/data/1649094/000164909426000007/pcvx-20251231.htm" TargetMode="External"/><Relationship Id="rId8" Type="http://schemas.openxmlformats.org/officeDocument/2006/relationships/hyperlink" Target="http://www.sec.gov/Archives/edgar/data/../../../ix?doc=/Archives/edgar/data/1649094/000119312526173672/d64525ddef14a.htm" TargetMode="External"/><Relationship Id="rId9" Type="http://schemas.openxmlformats.org/officeDocument/2006/relationships/hyperlink" Target="http://www.sec.gov/Archives/edgar/data/1649094/000119312520164625/d926263d8a12b.htm" TargetMode="External"/><Relationship Id="rId10" Type="http://schemas.openxmlformats.org/officeDocument/2006/relationships/hyperlink" Target="http://www.sec.gov/Archives/edgar/data/1649094/000156459021016110/pcvx-ex42_374.htm" TargetMode="External"/><Relationship Id="rId11" Type="http://schemas.openxmlformats.org/officeDocument/2006/relationships/hyperlink" Target="http://www.sec.gov/Archives/edgar/data/../../../ix?doc=/Archives/edgar/data/1649094/000119312526033578/d54534d8k.htm" TargetMode="External"/><Relationship Id="rId12" Type="http://schemas.openxmlformats.org/officeDocument/2006/relationships/hyperlink" Target="http://www.sec.gov/Archives/edgar/data/../../../ix?doc=/Archives/edgar/data/1649094/000119312526067546/d259722d8k.htm" TargetMode="External"/><Relationship Id="rId13" Type="http://schemas.openxmlformats.org/officeDocument/2006/relationships/hyperlink" Target="http://www.sec.gov/Archives/edgar/data/../../../ix?doc=/Archives/edgar/data/1649094/000164909426000021/pcvx-20260615.htm" TargetMode="External"/><Relationship Id="rId14" Type="http://schemas.openxmlformats.org/officeDocument/2006/relationships/hyperlink" Target="http://www.sec.gov/Archives/edgar/data/../../../ix?doc=/Archives/edgar/data/1649094/000164909426000026/pcvx-20260617.htm" TargetMode="External"/><Relationship Id="rId15" Type="http://schemas.openxmlformats.org/officeDocument/2006/relationships/hyperlink" Target="http://www.sec.gov/Archives/edgar/data/../../../ix?doc=/Archives/edgar/data/1649094/000164909426000030/pcvx-20260713.htm" TargetMode="External"/><Relationship Id="rId16" Type="http://schemas.openxmlformats.org/officeDocument/2006/relationships/hyperlink" Target="http://www.sec.gov/Archives/edgar/data/../../../ix?doc=/Archives/edgar/data/1649094/000164909426000045/pcvx-20260831.htm" TargetMode="External"/><Relationship Id="rId17" Type="http://schemas.openxmlformats.org/officeDocument/2006/relationships/hyperlink" Target="http://www.sec.gov/Archives/edgar/data/../../../ix?doc=/Archives/edgar/data/1649094/000119312526413168/d21202d8k.htm" TargetMode="External"/><Relationship Id="rId18" Type="http://schemas.openxmlformats.org/officeDocument/2006/relationships/image" Target="media/image3.jpeg"/><Relationship Id="rId19" Type="http://schemas.openxmlformats.org/officeDocument/2006/relationships/hyperlink" Target="http://www.sec.gov/Archives/edgar/data/../../../ix?doc=/Archives/edgar/data/1649094/000095017024021145/pcvx-20231231.htm" TargetMode="External"/><Relationship Id="rId20" Type="http://schemas.openxmlformats.org/officeDocument/2006/relationships/hyperlink" Target="http://www.sec.gov/Archives/edgar/data/../../../ix?doc=/Archives/edgar/data/1649094/000162828024021677/pcvx-20240331.htm" TargetMode="External"/><Relationship Id="rId21" Type="http://schemas.openxmlformats.org/officeDocument/2006/relationships/hyperlink" Target="http://www.sec.gov/Archives/edgar/data/../../../ix?doc=/Archives/edgar/data/1649094/000095017024021145/pcvx-20231231.htm" TargetMode="External"/><Relationship Id="rId22" Type="http://schemas.openxmlformats.org/officeDocument/2006/relationships/hyperlink" Target="http://www.sec.gov/Archives/edgar/data/../../../ix?doc=/Archives/edgar/data/1649094/000119312524096192/d21304ddef14a.htm" TargetMode="External"/><Relationship Id="rId23" Type="http://schemas.openxmlformats.org/officeDocument/2006/relationships/hyperlink" Target="http://www.sec.gov/Archives/edgar/data/1649094/000119312520164625/d926263d8a12b.htm" TargetMode="External"/><Relationship Id="rId24" Type="http://schemas.openxmlformats.org/officeDocument/2006/relationships/hyperlink" Target="http://www.sec.gov/Archives/edgar/data/1649094/000156459021016110/pcvx-ex42_374.htm" TargetMode="External"/><Relationship Id="rId25" Type="http://schemas.openxmlformats.org/officeDocument/2006/relationships/hyperlink" Target="http://www.sec.gov/Archives/edgar/data/../../../ix?doc=/Archives/edgar/data/1649094/000119312524021084/d752729d8k.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37058</Words>
  <Characters>198390</Characters>
  <CharactersWithSpaces>236692</CharactersWithSpaces>
  <Paragraphs>2576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